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3442970</wp:posOffset>
                </wp:positionH>
                <wp:positionV relativeFrom="paragraph">
                  <wp:posOffset>301625</wp:posOffset>
                </wp:positionV>
                <wp:extent cx="2345690" cy="4591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t>2024-05-07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23.75pt;height:36.15pt;width:184.7pt;z-index:251666432;mso-width-relative:page;mso-height-relative:page;" filled="f" stroked="f" coordsize="21600,21600" o:gfxdata="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&#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VlzVtsAAAAKAQAADwAAAAAAAAABACAAAAAiAAAA&#10;ZHJzL2Rvd25yZXYueG1sUEsBAhQAFAAAAAgAh07iQIrZJ0M9AgAAaAQAAA4AAAAAAAAAAQAgAAAA&#10;KgEAAGRycy9lMm9Eb2MueG1sUEsFBgAAAAAGAAYAWQEAANkFAAAAAA==&#10;">
                <v:fill on="f" focussize="0,0"/>
                <v:stroke on="f" weight="0.5pt"/>
                <v:imagedata o:title=""/>
                <o:lock v:ext="edit" aspectratio="f"/>
                <v:textbox>
                  <w:txbxContent>
                    <w:p>
                      <w:pPr>
                        <w:jc w:val="right"/>
                        <w:rPr>
                          <w:rFonts w:hint="default"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t>2024-05-07</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-1873885</wp:posOffset>
                </wp:positionH>
                <wp:positionV relativeFrom="paragraph">
                  <wp:posOffset>5685155</wp:posOffset>
                </wp:positionV>
                <wp:extent cx="5962650" cy="48323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2F2F2" w:themeColor="background1" w:themeShade="F2"/>
                                <w:sz w:val="24"/>
                                <w:szCs w:val="24"/>
                                <w:lang w:val="en-US" w:eastAsia="zh-CN"/>
                              </w:rPr>
                            </w:pPr>
                            <w:r>
                              <w:rPr>
                                <w:rFonts w:hint="eastAsia" w:ascii="微软雅黑" w:hAnsi="微软雅黑" w:eastAsia="微软雅黑" w:cs="微软雅黑"/>
                                <w:color w:val="F2F2F2" w:themeColor="background1" w:themeShade="F2"/>
                                <w:sz w:val="24"/>
                                <w:szCs w:val="24"/>
                                <w:lang w:val="en-US" w:eastAsia="zh-CN"/>
                              </w:rPr>
                              <w:t>税局乐企平台通过审核通知、申请流程、乐企配置、开票操作流程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447.65pt;height:38.05pt;width:469.5pt;z-index:251665408;mso-width-relative:page;mso-height-relative:page;" filled="f" stroked="f" coordsize="21600,21600" o:gfxdata="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3FyefeAAAADAEAAA8AAAAAAAAAAQAgAAAAIgAA&#10;AGRycy9kb3ducmV2LnhtbFBLAQIUABQAAAAIAIdO4kCqMVGJOwIAAGgEAAAOAAAAAAAAAAEAIAAA&#10;AC0BAABkcnMvZTJvRG9jLnhtbFBLBQYAAAAABgAGAFkBAADaBQAAAAA=&#10;">
                <v:fill on="f" focussize="0,0"/>
                <v:stroke on="f" weight="0.5pt"/>
                <v:imagedata o:title=""/>
                <o:lock v:ext="edit" aspectratio="f"/>
                <v:textbox>
                  <w:txbxContent>
                    <w:p>
                      <w:pPr>
                        <w:jc w:val="right"/>
                        <w:rPr>
                          <w:rFonts w:hint="default" w:ascii="微软雅黑" w:hAnsi="微软雅黑" w:eastAsia="微软雅黑" w:cs="微软雅黑"/>
                          <w:color w:val="F2F2F2" w:themeColor="background1" w:themeShade="F2"/>
                          <w:sz w:val="24"/>
                          <w:szCs w:val="24"/>
                          <w:lang w:val="en-US" w:eastAsia="zh-CN"/>
                        </w:rPr>
                      </w:pPr>
                      <w:r>
                        <w:rPr>
                          <w:rFonts w:hint="eastAsia" w:ascii="微软雅黑" w:hAnsi="微软雅黑" w:eastAsia="微软雅黑" w:cs="微软雅黑"/>
                          <w:color w:val="F2F2F2" w:themeColor="background1" w:themeShade="F2"/>
                          <w:sz w:val="24"/>
                          <w:szCs w:val="24"/>
                          <w:lang w:val="en-US" w:eastAsia="zh-CN"/>
                        </w:rPr>
                        <w:t>税局乐企平台通过审核通知、申请流程、乐企配置、开票操作流程</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1743075</wp:posOffset>
                </wp:positionH>
                <wp:positionV relativeFrom="paragraph">
                  <wp:posOffset>5227320</wp:posOffset>
                </wp:positionV>
                <wp:extent cx="2345690" cy="6921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摘要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25pt;margin-top:411.6pt;height:54.5pt;width:184.7pt;z-index:251664384;mso-width-relative:page;mso-height-relative:page;" filled="f" stroked="f" coordsize="21600,21600" o:gfxdata="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PxPnN0AAAALAQAADwAAAAAAAAABACAAAAAiAAAA&#10;ZHJzL2Rvd25yZXYueG1sUEsBAhQAFAAAAAgAh07iQPaFDtI7AgAAaAQAAA4AAAAAAAAAAQAgAAAA&#10;LAEAAGRycy9lMm9Eb2MueG1sUEsFBgAAAAAGAAYAWQEAANkFAAAAAA==&#10;">
                <v:fill on="f" focussize="0,0"/>
                <v:stroke on="f" weight="0.5pt"/>
                <v:imagedata o:title=""/>
                <o:lock v:ext="edit" aspectratio="f"/>
                <v:textbo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摘要</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1790065</wp:posOffset>
                </wp:positionH>
                <wp:positionV relativeFrom="paragraph">
                  <wp:posOffset>4187825</wp:posOffset>
                </wp:positionV>
                <wp:extent cx="2345690" cy="64262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3456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2F2F2" w:themeColor="background1" w:themeShade="F2"/>
                                <w:sz w:val="40"/>
                                <w:szCs w:val="40"/>
                                <w:lang w:val="en-US" w:eastAsia="zh-CN"/>
                              </w:rPr>
                            </w:pPr>
                            <w:r>
                              <w:rPr>
                                <w:rFonts w:hint="eastAsia" w:ascii="微软雅黑" w:hAnsi="微软雅黑" w:eastAsia="微软雅黑" w:cs="微软雅黑"/>
                                <w:color w:val="F2F2F2" w:themeColor="background1" w:themeShade="F2"/>
                                <w:sz w:val="40"/>
                                <w:szCs w:val="40"/>
                                <w:lang w:val="en-US" w:eastAsia="zh-CN"/>
                              </w:rPr>
                              <w:t>V1.0.9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5pt;margin-top:329.75pt;height:50.6pt;width:184.7pt;z-index:251661312;mso-width-relative:page;mso-height-relative:page;" filled="f" stroked="f" coordsize="21600,21600" o:gfxdata="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s4edwAAAALAQAADwAAAAAAAAABACAAAAAiAAAA&#10;ZHJzL2Rvd25yZXYueG1sUEsBAhQAFAAAAAgAh07iQLB0HTs8AgAAaAQAAA4AAAAAAAAAAQAgAAAA&#10;KwEAAGRycy9lMm9Eb2MueG1sUEsFBgAAAAAGAAYAWQEAANkFAAAAAA==&#10;">
                <v:fill on="f" focussize="0,0"/>
                <v:stroke on="f" weight="0.5pt"/>
                <v:imagedata o:title=""/>
                <o:lock v:ext="edit" aspectratio="f"/>
                <v:textbox>
                  <w:txbxContent>
                    <w:p>
                      <w:pPr>
                        <w:jc w:val="right"/>
                        <w:rPr>
                          <w:rFonts w:hint="default" w:ascii="微软雅黑" w:hAnsi="微软雅黑" w:eastAsia="微软雅黑" w:cs="微软雅黑"/>
                          <w:color w:val="F2F2F2" w:themeColor="background1" w:themeShade="F2"/>
                          <w:sz w:val="40"/>
                          <w:szCs w:val="40"/>
                          <w:lang w:val="en-US" w:eastAsia="zh-CN"/>
                        </w:rPr>
                      </w:pPr>
                      <w:r>
                        <w:rPr>
                          <w:rFonts w:hint="eastAsia" w:ascii="微软雅黑" w:hAnsi="微软雅黑" w:eastAsia="微软雅黑" w:cs="微软雅黑"/>
                          <w:color w:val="F2F2F2" w:themeColor="background1" w:themeShade="F2"/>
                          <w:sz w:val="40"/>
                          <w:szCs w:val="40"/>
                          <w:lang w:val="en-US" w:eastAsia="zh-CN"/>
                        </w:rPr>
                        <w:t>V1.0.9</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3442970</wp:posOffset>
                </wp:positionH>
                <wp:positionV relativeFrom="paragraph">
                  <wp:posOffset>8289290</wp:posOffset>
                </wp:positionV>
                <wp:extent cx="2345690" cy="45910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652.7pt;height:36.15pt;width:184.7pt;z-index:251663360;mso-width-relative:page;mso-height-relative:page;" filled="f" stroked="f" coordsize="21600,21600" o:gfxdata="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VTha3QAAAA0BAAAPAAAAAAAAAAEAIAAAACIA&#10;AABkcnMvZG93bnJldi54bWxQSwECFAAUAAAACACHTuJAOHdVCD0CAABoBAAADgAAAAAAAAABACAA&#10;AAAsAQAAZHJzL2Uyb0RvYy54bWxQSwUGAAAAAAYABgBZAQAA2wUAAAAA&#10;">
                <v:fill on="f" focussize="0,0"/>
                <v:stroke on="f" weight="0.5pt"/>
                <v:imagedata o:title=""/>
                <o:lock v:ext="edit" aspectratio="f"/>
                <v:textbox>
                  <w:txbxContent>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3442970</wp:posOffset>
                </wp:positionH>
                <wp:positionV relativeFrom="paragraph">
                  <wp:posOffset>7966710</wp:posOffset>
                </wp:positionV>
                <wp:extent cx="2345690" cy="4591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627.3pt;height:36.15pt;width:184.7pt;z-index:251662336;mso-width-relative:page;mso-height-relative:page;" filled="f" stroked="f" coordsize="21600,21600" o:gfxdata="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SDo/3QAAAA0BAAAPAAAAAAAAAAEAIAAAACIA&#10;AABkcnMvZG93bnJldi54bWxQSwECFAAUAAAACACHTuJArQwDgz0CAABoBAAADgAAAAAAAAABACAA&#10;AAAsAQAAZHJzL2Uyb0RvYy54bWxQSwUGAAAAAAYABgBZAQAA2wUAAAAA&#10;">
                <v:fill on="f" focussize="0,0"/>
                <v:stroke on="f" weight="0.5pt"/>
                <v:imagedata o:title=""/>
                <o:lock v:ext="edit" aspectratio="f"/>
                <v:textbox>
                  <w:txbxContent>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-843280</wp:posOffset>
                </wp:positionH>
                <wp:positionV relativeFrom="paragraph">
                  <wp:posOffset>-631190</wp:posOffset>
                </wp:positionV>
                <wp:extent cx="5154295" cy="10114280"/>
                <wp:effectExtent l="0" t="0" r="8255" b="1270"/>
                <wp:wrapNone/>
                <wp:docPr id="34" name="矩形 34"/>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rgbClr val="90A9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4pt;margin-top:-49.7pt;height:796.4pt;width:405.85pt;z-index:251659264;v-text-anchor:middle;mso-width-relative:page;mso-height-relative:page;" fillcolor="#90A9DC" filled="t" stroked="f" coordsize="21600,21600" o:gfxdata="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rsUCM2wAAAA0BAAAPAAAAAAAAAAEAIAAA&#10;ACIAAABkcnMvZG93bnJldi54bWxQSwECFAAUAAAACACHTuJANy2twHsCAADZBAAADgAAAAAAAAAB&#10;ACAAAAAqAQAAZHJzL2Uyb0RvYy54bWxQSwUGAAAAAAYABgBZAQAAFwYAAAAA&#10;">
                <v:fill on="t" focussize="0,0"/>
                <v:stroke on="f" weight="1pt" miterlimit="8" joinstyle="miter"/>
                <v:imagedata o:title=""/>
                <o:lock v:ext="edit" aspectratio="f"/>
              </v:rect>
            </w:pict>
          </mc:Fallback>
        </mc:AlternateContent>
      </w:r>
    </w:p>
    <w:p>
      <w:pPr>
        <w:jc w:val="center"/>
        <w:rPr>
          <w:rFonts w:hint="eastAsia" w:ascii="微软雅黑" w:hAnsi="微软雅黑" w:eastAsia="微软雅黑" w:cs="微软雅黑"/>
          <w:sz w:val="48"/>
          <w:szCs w:val="48"/>
          <w:lang w:val="en-US" w:eastAsia="zh-CN"/>
        </w:rPr>
        <w:sectPr>
          <w:pgSz w:w="11906" w:h="16838"/>
          <w:pgMar w:top="1440" w:right="1123" w:bottom="1440" w:left="1123" w:header="851" w:footer="992" w:gutter="0"/>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-565785</wp:posOffset>
                </wp:positionH>
                <wp:positionV relativeFrom="paragraph">
                  <wp:posOffset>2508250</wp:posOffset>
                </wp:positionV>
                <wp:extent cx="4817745" cy="16548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817745" cy="1654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t>数字物业云服务平台</w:t>
                            </w:r>
                          </w:p>
                          <w:p>
                            <w:pPr>
                              <w:jc w:val="right"/>
                              <w:rPr>
                                <w:rFonts w:hint="default"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----乐企联用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5pt;margin-top:197.5pt;height:130.3pt;width:379.35pt;z-index:251660288;mso-width-relative:page;mso-height-relative:page;" filled="f" stroked="f" coordsize="21600,21600" o:gfxdata="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&#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I79hfcAAAACwEAAA8AAAAAAAAAAQAgAAAAIgAA&#10;AGRycy9kb3ducmV2LnhtbFBLAQIUABQAAAAIAIdO4kCJrJhbPQIAAGkEAAAOAAAAAAAAAAEAIAAA&#10;ACs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t>数字物业云服务平台</w:t>
                      </w:r>
                    </w:p>
                    <w:p>
                      <w:pPr>
                        <w:jc w:val="right"/>
                        <w:rPr>
                          <w:rFonts w:hint="default"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----乐企联用</w:t>
                      </w:r>
                    </w:p>
                  </w:txbxContent>
                </v:textbox>
              </v:shape>
            </w:pict>
          </mc:Fallback>
        </mc:AlternateContent>
      </w:r>
    </w:p>
    <w:sdt>
      <w:sdtPr>
        <w:rPr>
          <w:rFonts w:ascii="宋体" w:hAnsi="宋体" w:eastAsia="宋体" w:cstheme="minorBidi"/>
          <w:kern w:val="2"/>
          <w:sz w:val="21"/>
          <w:szCs w:val="24"/>
          <w:lang w:val="en-US" w:eastAsia="zh-CN" w:bidi="ar-SA"/>
        </w:rPr>
        <w:id w:val="147471004"/>
        <w15:color w:val="DBDBDB"/>
        <w:docPartObj>
          <w:docPartGallery w:val="Table of Contents"/>
          <w:docPartUnique/>
        </w:docPartObj>
      </w:sdtPr>
      <w:sdtEndPr>
        <w:rPr>
          <w:rFonts w:hint="eastAsia" w:ascii="微软雅黑" w:hAnsi="微软雅黑" w:eastAsia="微软雅黑" w:cs="微软雅黑"/>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eastAsia" w:ascii="楷体" w:hAnsi="楷体" w:eastAsia="楷体" w:cs="楷体"/>
              <w:sz w:val="48"/>
              <w:szCs w:val="48"/>
            </w:rPr>
          </w:pPr>
          <w:r>
            <w:rPr>
              <w:rFonts w:hint="eastAsia" w:ascii="楷体" w:hAnsi="楷体" w:eastAsia="楷体" w:cs="楷体"/>
              <w:sz w:val="48"/>
              <w:szCs w:val="48"/>
            </w:rPr>
            <w:t>目</w:t>
          </w:r>
          <w:r>
            <w:rPr>
              <w:rFonts w:hint="eastAsia" w:ascii="楷体" w:hAnsi="楷体" w:eastAsia="楷体" w:cs="楷体"/>
              <w:sz w:val="48"/>
              <w:szCs w:val="48"/>
              <w:lang w:val="en-US" w:eastAsia="zh-CN"/>
            </w:rPr>
            <w:t xml:space="preserve"> </w:t>
          </w:r>
          <w:r>
            <w:rPr>
              <w:rFonts w:hint="eastAsia" w:ascii="楷体" w:hAnsi="楷体" w:eastAsia="楷体" w:cs="楷体"/>
              <w:sz w:val="48"/>
              <w:szCs w:val="48"/>
            </w:rPr>
            <w:t>录</w:t>
          </w:r>
        </w:p>
        <w:p>
          <w:pPr>
            <w:pStyle w:val="2"/>
            <w:tabs>
              <w:tab w:val="right" w:leader="dot" w:pos="9660"/>
            </w:tabs>
          </w:pPr>
          <w:r>
            <w:rPr>
              <w:rFonts w:hint="eastAsia" w:ascii="微软雅黑" w:hAnsi="微软雅黑" w:eastAsia="微软雅黑" w:cs="微软雅黑"/>
              <w:sz w:val="48"/>
              <w:szCs w:val="48"/>
              <w:lang w:val="en-US" w:eastAsia="zh-CN"/>
            </w:rPr>
            <w:fldChar w:fldCharType="begin"/>
          </w:r>
          <w:r>
            <w:rPr>
              <w:rFonts w:hint="eastAsia" w:ascii="微软雅黑" w:hAnsi="微软雅黑" w:eastAsia="微软雅黑" w:cs="微软雅黑"/>
              <w:sz w:val="48"/>
              <w:szCs w:val="48"/>
              <w:lang w:val="en-US" w:eastAsia="zh-CN"/>
            </w:rPr>
            <w:instrText xml:space="preserve">TOC \o "1-3" \h \u </w:instrText>
          </w:r>
          <w:r>
            <w:rPr>
              <w:rFonts w:hint="eastAsia" w:ascii="微软雅黑" w:hAnsi="微软雅黑" w:eastAsia="微软雅黑" w:cs="微软雅黑"/>
              <w:sz w:val="48"/>
              <w:szCs w:val="48"/>
              <w:lang w:val="en-US" w:eastAsia="zh-CN"/>
            </w:rPr>
            <w:fldChar w:fldCharType="separate"/>
          </w: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_Toc24615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cs="微软雅黑"/>
              <w:bCs w:val="0"/>
              <w:szCs w:val="52"/>
            </w:rPr>
            <w:t>修订记录</w:t>
          </w:r>
          <w:r>
            <w:tab/>
          </w:r>
          <w:r>
            <w:fldChar w:fldCharType="begin"/>
          </w:r>
          <w:r>
            <w:instrText xml:space="preserve"> PAGEREF _Toc24615 \h </w:instrText>
          </w:r>
          <w:r>
            <w:fldChar w:fldCharType="separate"/>
          </w:r>
          <w:r>
            <w:t>3</w:t>
          </w:r>
          <w:r>
            <w:fldChar w:fldCharType="end"/>
          </w:r>
          <w:r>
            <w:rPr>
              <w:rFonts w:hint="eastAsia" w:ascii="微软雅黑" w:hAnsi="微软雅黑" w:eastAsia="微软雅黑" w:cs="微软雅黑"/>
              <w:szCs w:val="48"/>
              <w:lang w:val="en-US" w:eastAsia="zh-CN"/>
            </w:rPr>
            <w:fldChar w:fldCharType="end"/>
          </w:r>
        </w:p>
        <w:p>
          <w:pPr>
            <w:pStyle w:val="2"/>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_Toc5398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cs="微软雅黑"/>
              <w:bCs w:val="0"/>
              <w:szCs w:val="48"/>
              <w:lang w:val="en-US" w:eastAsia="zh-CN"/>
            </w:rPr>
            <w:t>一、乐企联用开票申请流程</w:t>
          </w:r>
          <w:r>
            <w:tab/>
          </w:r>
          <w:r>
            <w:fldChar w:fldCharType="begin"/>
          </w:r>
          <w:r>
            <w:instrText xml:space="preserve"> PAGEREF _Toc5398 \h </w:instrText>
          </w:r>
          <w:r>
            <w:fldChar w:fldCharType="separate"/>
          </w:r>
          <w:r>
            <w:t>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_Toc21651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1、乐企申请准备：</w:t>
          </w:r>
          <w:r>
            <w:tab/>
          </w:r>
          <w:r>
            <w:fldChar w:fldCharType="begin"/>
          </w:r>
          <w:r>
            <w:instrText xml:space="preserve"> PAGEREF _Toc21651 \h </w:instrText>
          </w:r>
          <w:r>
            <w:fldChar w:fldCharType="separate"/>
          </w:r>
          <w:r>
            <w:t>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_Toc20396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2、接入邀请确认：</w:t>
          </w:r>
          <w:r>
            <w:tab/>
          </w:r>
          <w:r>
            <w:fldChar w:fldCharType="begin"/>
          </w:r>
          <w:r>
            <w:instrText xml:space="preserve"> PAGEREF _Toc20396 \h </w:instrText>
          </w:r>
          <w:r>
            <w:fldChar w:fldCharType="separate"/>
          </w:r>
          <w:r>
            <w:t>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_Toc29792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3、查看接入状态：</w:t>
          </w:r>
          <w:r>
            <w:tab/>
          </w:r>
          <w:r>
            <w:fldChar w:fldCharType="begin"/>
          </w:r>
          <w:r>
            <w:instrText xml:space="preserve"> PAGEREF _Toc29792 \h </w:instrText>
          </w:r>
          <w:r>
            <w:fldChar w:fldCharType="separate"/>
          </w:r>
          <w:r>
            <w:t>5</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_Toc15421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4、授权开票能力：</w:t>
          </w:r>
          <w:r>
            <w:tab/>
          </w:r>
          <w:r>
            <w:fldChar w:fldCharType="begin"/>
          </w:r>
          <w:r>
            <w:instrText xml:space="preserve"> PAGEREF _Toc15421 \h </w:instrText>
          </w:r>
          <w:r>
            <w:fldChar w:fldCharType="separate"/>
          </w:r>
          <w:r>
            <w:t>6</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_Toc6892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5、财务邀请开票员：</w:t>
          </w:r>
          <w:r>
            <w:tab/>
          </w:r>
          <w:r>
            <w:fldChar w:fldCharType="begin"/>
          </w:r>
          <w:r>
            <w:instrText xml:space="preserve"> PAGEREF _Toc6892 \h </w:instrText>
          </w:r>
          <w:r>
            <w:fldChar w:fldCharType="separate"/>
          </w:r>
          <w:r>
            <w:t>7</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_Toc4985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6、开票员确认邀请：</w:t>
          </w:r>
          <w:r>
            <w:tab/>
          </w:r>
          <w:r>
            <w:fldChar w:fldCharType="begin"/>
          </w:r>
          <w:r>
            <w:instrText xml:space="preserve"> PAGEREF _Toc4985 \h </w:instrText>
          </w:r>
          <w:r>
            <w:fldChar w:fldCharType="separate"/>
          </w:r>
          <w:r>
            <w:t>9</w:t>
          </w:r>
          <w:r>
            <w:fldChar w:fldCharType="end"/>
          </w:r>
          <w:r>
            <w:rPr>
              <w:rFonts w:hint="eastAsia" w:ascii="微软雅黑" w:hAnsi="微软雅黑" w:eastAsia="微软雅黑" w:cs="微软雅黑"/>
              <w:szCs w:val="48"/>
              <w:lang w:val="en-US" w:eastAsia="zh-CN"/>
            </w:rPr>
            <w:fldChar w:fldCharType="end"/>
          </w:r>
        </w:p>
        <w:p>
          <w:pPr>
            <w:pStyle w:val="2"/>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_Toc1458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cs="微软雅黑"/>
              <w:bCs w:val="0"/>
              <w:szCs w:val="48"/>
              <w:lang w:val="en-US" w:eastAsia="zh-CN"/>
            </w:rPr>
            <w:t>二、乐企联用开票初始化配置</w:t>
          </w:r>
          <w:r>
            <w:tab/>
          </w:r>
          <w:r>
            <w:fldChar w:fldCharType="begin"/>
          </w:r>
          <w:r>
            <w:instrText xml:space="preserve"> PAGEREF _Toc1458 \h </w:instrText>
          </w:r>
          <w:r>
            <w:fldChar w:fldCharType="separate"/>
          </w:r>
          <w:r>
            <w:t>10</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_Toc3672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1、乐企配置：</w:t>
          </w:r>
          <w:r>
            <w:tab/>
          </w:r>
          <w:r>
            <w:fldChar w:fldCharType="begin"/>
          </w:r>
          <w:r>
            <w:instrText xml:space="preserve"> PAGEREF _Toc3672 \h </w:instrText>
          </w:r>
          <w:r>
            <w:fldChar w:fldCharType="separate"/>
          </w:r>
          <w:r>
            <w:t>10</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_Toc15781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2、授权认证：</w:t>
          </w:r>
          <w:r>
            <w:tab/>
          </w:r>
          <w:r>
            <w:fldChar w:fldCharType="begin"/>
          </w:r>
          <w:r>
            <w:instrText xml:space="preserve"> PAGEREF _Toc15781 \h </w:instrText>
          </w:r>
          <w:r>
            <w:fldChar w:fldCharType="separate"/>
          </w:r>
          <w:r>
            <w:t>12</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_Toc24174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3、申领发票：</w:t>
          </w:r>
          <w:r>
            <w:tab/>
          </w:r>
          <w:r>
            <w:fldChar w:fldCharType="begin"/>
          </w:r>
          <w:r>
            <w:instrText xml:space="preserve"> PAGEREF _Toc24174 \h </w:instrText>
          </w:r>
          <w:r>
            <w:fldChar w:fldCharType="separate"/>
          </w:r>
          <w:r>
            <w:t>13</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_Toc4275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4、授信额度：</w:t>
          </w:r>
          <w:r>
            <w:tab/>
          </w:r>
          <w:r>
            <w:fldChar w:fldCharType="begin"/>
          </w:r>
          <w:r>
            <w:instrText xml:space="preserve"> PAGEREF _Toc4275 \h </w:instrText>
          </w:r>
          <w:r>
            <w:fldChar w:fldCharType="separate"/>
          </w:r>
          <w:r>
            <w:t>13</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_Toc6649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5、数电票上传：</w:t>
          </w:r>
          <w:r>
            <w:tab/>
          </w:r>
          <w:r>
            <w:fldChar w:fldCharType="begin"/>
          </w:r>
          <w:r>
            <w:instrText xml:space="preserve"> PAGEREF _Toc6649 \h </w:instrText>
          </w:r>
          <w:r>
            <w:fldChar w:fldCharType="separate"/>
          </w:r>
          <w:r>
            <w:t>14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_Toc17434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6、查询纳税人基本信息：</w:t>
          </w:r>
          <w:r>
            <w:tab/>
          </w:r>
          <w:r>
            <w:fldChar w:fldCharType="begin"/>
          </w:r>
          <w:r>
            <w:instrText xml:space="preserve"> PAGEREF _Toc17434 \h </w:instrText>
          </w:r>
          <w:r>
            <w:fldChar w:fldCharType="separate"/>
          </w:r>
          <w:r>
            <w:t>14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_Toc16712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7、查询纳税人风险信息：</w:t>
          </w:r>
          <w:r>
            <w:tab/>
          </w:r>
          <w:r>
            <w:fldChar w:fldCharType="begin"/>
          </w:r>
          <w:r>
            <w:instrText xml:space="preserve"> PAGEREF _Toc16712 \h </w:instrText>
          </w:r>
          <w:r>
            <w:fldChar w:fldCharType="separate"/>
          </w:r>
          <w:r>
            <w:t>14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_Toc11961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8、票据类型设置：</w:t>
          </w:r>
          <w:r>
            <w:tab/>
          </w:r>
          <w:r>
            <w:fldChar w:fldCharType="begin"/>
          </w:r>
          <w:r>
            <w:instrText xml:space="preserve"> PAGEREF _Toc11961 \h </w:instrText>
          </w:r>
          <w:r>
            <w:fldChar w:fldCharType="separate"/>
          </w:r>
          <w:r>
            <w:t>14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_Toc28778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9、小区配置：</w:t>
          </w:r>
          <w:r>
            <w:tab/>
          </w:r>
          <w:r>
            <w:fldChar w:fldCharType="begin"/>
          </w:r>
          <w:r>
            <w:instrText xml:space="preserve"> PAGEREF _Toc28778 \h </w:instrText>
          </w:r>
          <w:r>
            <w:fldChar w:fldCharType="separate"/>
          </w:r>
          <w:r>
            <w:t>14</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_Toc8827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10、数电票汇总信息上传（每月一次）</w:t>
          </w:r>
          <w:r>
            <w:tab/>
          </w:r>
          <w:r>
            <w:fldChar w:fldCharType="begin"/>
          </w:r>
          <w:r>
            <w:instrText xml:space="preserve"> PAGEREF _Toc8827 \h </w:instrText>
          </w:r>
          <w:r>
            <w:fldChar w:fldCharType="separate"/>
          </w:r>
          <w:r>
            <w:t>15</w:t>
          </w:r>
          <w:r>
            <w:fldChar w:fldCharType="end"/>
          </w:r>
          <w:r>
            <w:rPr>
              <w:rFonts w:hint="eastAsia" w:ascii="微软雅黑" w:hAnsi="微软雅黑" w:eastAsia="微软雅黑" w:cs="微软雅黑"/>
              <w:szCs w:val="48"/>
              <w:lang w:val="en-US" w:eastAsia="zh-CN"/>
            </w:rPr>
            <w:fldChar w:fldCharType="end"/>
          </w:r>
        </w:p>
        <w:p>
          <w:pPr>
            <w:pStyle w:val="2"/>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_Toc10056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cs="微软雅黑"/>
              <w:bCs w:val="0"/>
              <w:szCs w:val="48"/>
              <w:lang w:val="en-US" w:eastAsia="zh-CN"/>
            </w:rPr>
            <w:t>三、日常开票初始化及操作</w:t>
          </w:r>
          <w:r>
            <w:tab/>
          </w:r>
          <w:r>
            <w:fldChar w:fldCharType="begin"/>
          </w:r>
          <w:r>
            <w:instrText xml:space="preserve"> PAGEREF _Toc10056 \h </w:instrText>
          </w:r>
          <w:r>
            <w:fldChar w:fldCharType="separate"/>
          </w:r>
          <w:r>
            <w:t>17</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_Toc1682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1、角色管理：</w:t>
          </w:r>
          <w:r>
            <w:tab/>
          </w:r>
          <w:r>
            <w:fldChar w:fldCharType="begin"/>
          </w:r>
          <w:r>
            <w:instrText xml:space="preserve"> PAGEREF _Toc1682 \h </w:instrText>
          </w:r>
          <w:r>
            <w:fldChar w:fldCharType="separate"/>
          </w:r>
          <w:r>
            <w:t>17</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_Toc9108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2、用户账号（开票员身份证号码）</w:t>
          </w:r>
          <w:r>
            <w:tab/>
          </w:r>
          <w:r>
            <w:fldChar w:fldCharType="begin"/>
          </w:r>
          <w:r>
            <w:instrText xml:space="preserve"> PAGEREF _Toc9108 \h </w:instrText>
          </w:r>
          <w:r>
            <w:fldChar w:fldCharType="separate"/>
          </w:r>
          <w:r>
            <w:t>17</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_Toc20512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3、系统设置（科目设置）</w:t>
          </w:r>
          <w:r>
            <w:tab/>
          </w:r>
          <w:r>
            <w:fldChar w:fldCharType="begin"/>
          </w:r>
          <w:r>
            <w:instrText xml:space="preserve"> PAGEREF _Toc20512 \h </w:instrText>
          </w:r>
          <w:r>
            <w:fldChar w:fldCharType="separate"/>
          </w:r>
          <w:r>
            <w:t>17</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_Toc25398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4、收费项目（配置税率）</w:t>
          </w:r>
          <w:r>
            <w:tab/>
          </w:r>
          <w:r>
            <w:fldChar w:fldCharType="begin"/>
          </w:r>
          <w:r>
            <w:instrText xml:space="preserve"> PAGEREF _Toc25398 \h </w:instrText>
          </w:r>
          <w:r>
            <w:fldChar w:fldCharType="separate"/>
          </w:r>
          <w:r>
            <w:t>18</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_Toc13685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5、收费管理（日常开票操作）</w:t>
          </w:r>
          <w:r>
            <w:tab/>
          </w:r>
          <w:r>
            <w:fldChar w:fldCharType="begin"/>
          </w:r>
          <w:r>
            <w:instrText xml:space="preserve"> PAGEREF _Toc13685 \h </w:instrText>
          </w:r>
          <w:r>
            <w:fldChar w:fldCharType="separate"/>
          </w:r>
          <w:r>
            <w:t>18</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_Toc23327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6、开票注意事项：</w:t>
          </w:r>
          <w:r>
            <w:tab/>
          </w:r>
          <w:r>
            <w:fldChar w:fldCharType="begin"/>
          </w:r>
          <w:r>
            <w:instrText xml:space="preserve"> PAGEREF _Toc23327 \h </w:instrText>
          </w:r>
          <w:r>
            <w:fldChar w:fldCharType="separate"/>
          </w:r>
          <w:r>
            <w:t>18</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_Toc6172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7、手动上传电子税局步骤：</w:t>
          </w:r>
          <w:r>
            <w:tab/>
          </w:r>
          <w:r>
            <w:fldChar w:fldCharType="begin"/>
          </w:r>
          <w:r>
            <w:instrText xml:space="preserve"> PAGEREF _Toc6172 \h </w:instrText>
          </w:r>
          <w:r>
            <w:fldChar w:fldCharType="separate"/>
          </w:r>
          <w:r>
            <w:t>18</w:t>
          </w:r>
          <w:r>
            <w:fldChar w:fldCharType="end"/>
          </w:r>
          <w:r>
            <w:rPr>
              <w:rFonts w:hint="eastAsia" w:ascii="微软雅黑" w:hAnsi="微软雅黑" w:eastAsia="微软雅黑" w:cs="微软雅黑"/>
              <w:szCs w:val="48"/>
              <w:lang w:val="en-US" w:eastAsia="zh-CN"/>
            </w:rPr>
            <w:fldChar w:fldCharType="end"/>
          </w:r>
        </w:p>
        <w:p>
          <w:pPr>
            <w:pStyle w:val="3"/>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_Toc3494 </w:instrText>
          </w:r>
          <w:r>
            <w:rPr>
              <w:rFonts w:hint="eastAsia" w:ascii="微软雅黑" w:hAnsi="微软雅黑" w:eastAsia="微软雅黑" w:cs="微软雅黑"/>
              <w:szCs w:val="48"/>
              <w:lang w:val="en-US" w:eastAsia="zh-CN"/>
            </w:rPr>
            <w:fldChar w:fldCharType="separate"/>
          </w:r>
          <w:r>
            <w:rPr>
              <w:rFonts w:hint="eastAsia"/>
              <w:bCs/>
              <w:szCs w:val="30"/>
              <w:lang w:val="en-US" w:eastAsia="zh-CN"/>
            </w:rPr>
            <w:t>8</w:t>
          </w:r>
          <w:r>
            <w:rPr>
              <w:rFonts w:hint="default"/>
              <w:bCs/>
              <w:szCs w:val="30"/>
              <w:lang w:val="en-US" w:eastAsia="zh-CN"/>
            </w:rPr>
            <w:t>、</w:t>
          </w:r>
          <w:r>
            <w:rPr>
              <w:rFonts w:hint="eastAsia"/>
              <w:bCs/>
              <w:szCs w:val="30"/>
              <w:lang w:val="en-US" w:eastAsia="zh-CN"/>
            </w:rPr>
            <w:t>发送版式文件：</w:t>
          </w:r>
          <w:r>
            <w:tab/>
          </w:r>
          <w:r>
            <w:fldChar w:fldCharType="begin"/>
          </w:r>
          <w:r>
            <w:instrText xml:space="preserve"> PAGEREF _Toc3494 \h </w:instrText>
          </w:r>
          <w:r>
            <w:fldChar w:fldCharType="separate"/>
          </w:r>
          <w:r>
            <w:t>19</w:t>
          </w:r>
          <w:r>
            <w:fldChar w:fldCharType="end"/>
          </w:r>
          <w:r>
            <w:rPr>
              <w:rFonts w:hint="eastAsia" w:ascii="微软雅黑" w:hAnsi="微软雅黑" w:eastAsia="微软雅黑" w:cs="微软雅黑"/>
              <w:szCs w:val="48"/>
              <w:lang w:val="en-US" w:eastAsia="zh-CN"/>
            </w:rPr>
            <w:fldChar w:fldCharType="end"/>
          </w:r>
        </w:p>
        <w:p>
          <w:pPr>
            <w:pStyle w:val="2"/>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_Toc17465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cs="微软雅黑"/>
              <w:bCs w:val="0"/>
              <w:szCs w:val="48"/>
              <w:lang w:val="en-US" w:eastAsia="zh-CN"/>
            </w:rPr>
            <w:t>通  知</w:t>
          </w:r>
          <w:r>
            <w:tab/>
          </w:r>
          <w:r>
            <w:fldChar w:fldCharType="begin"/>
          </w:r>
          <w:r>
            <w:instrText xml:space="preserve"> PAGEREF _Toc17465 \h </w:instrText>
          </w:r>
          <w:r>
            <w:fldChar w:fldCharType="separate"/>
          </w:r>
          <w:r>
            <w:t>21</w:t>
          </w:r>
          <w:r>
            <w:fldChar w:fldCharType="end"/>
          </w:r>
          <w:r>
            <w:rPr>
              <w:rFonts w:hint="eastAsia" w:ascii="微软雅黑" w:hAnsi="微软雅黑" w:eastAsia="微软雅黑" w:cs="微软雅黑"/>
              <w:szCs w:val="48"/>
              <w:lang w:val="en-US" w:eastAsia="zh-CN"/>
            </w:rPr>
            <w:fldChar w:fldCharType="end"/>
          </w:r>
        </w:p>
        <w:p>
          <w:pPr>
            <w:pStyle w:val="2"/>
            <w:tabs>
              <w:tab w:val="right" w:leader="dot" w:pos="9660"/>
            </w:tabs>
          </w:pPr>
          <w:r>
            <w:rPr>
              <w:rFonts w:hint="eastAsia" w:ascii="微软雅黑" w:hAnsi="微软雅黑" w:eastAsia="微软雅黑" w:cs="微软雅黑"/>
              <w:szCs w:val="48"/>
              <w:lang w:val="en-US" w:eastAsia="zh-CN"/>
            </w:rPr>
            <w:fldChar w:fldCharType="begin"/>
          </w:r>
          <w:r>
            <w:rPr>
              <w:rFonts w:hint="eastAsia" w:ascii="微软雅黑" w:hAnsi="微软雅黑" w:eastAsia="微软雅黑" w:cs="微软雅黑"/>
              <w:szCs w:val="48"/>
              <w:lang w:val="en-US" w:eastAsia="zh-CN"/>
            </w:rPr>
            <w:instrText xml:space="preserve"> HYPERLINK \l _Toc17627 </w:instrText>
          </w:r>
          <w:r>
            <w:rPr>
              <w:rFonts w:hint="eastAsia" w:ascii="微软雅黑" w:hAnsi="微软雅黑" w:eastAsia="微软雅黑" w:cs="微软雅黑"/>
              <w:szCs w:val="48"/>
              <w:lang w:val="en-US" w:eastAsia="zh-CN"/>
            </w:rPr>
            <w:fldChar w:fldCharType="separate"/>
          </w:r>
          <w:r>
            <w:rPr>
              <w:rFonts w:hint="eastAsia" w:ascii="微软雅黑" w:hAnsi="微软雅黑" w:eastAsia="微软雅黑"/>
              <w:szCs w:val="48"/>
              <w:lang w:eastAsia="zh-CN"/>
            </w:rPr>
            <w:t>情况说明表</w:t>
          </w:r>
          <w:r>
            <w:tab/>
          </w:r>
          <w:r>
            <w:fldChar w:fldCharType="begin"/>
          </w:r>
          <w:r>
            <w:instrText xml:space="preserve"> PAGEREF _Toc17627 \h </w:instrText>
          </w:r>
          <w:r>
            <w:fldChar w:fldCharType="separate"/>
          </w:r>
          <w:r>
            <w:t>22</w:t>
          </w:r>
          <w:r>
            <w:fldChar w:fldCharType="end"/>
          </w:r>
          <w:r>
            <w:rPr>
              <w:rFonts w:hint="eastAsia" w:ascii="微软雅黑" w:hAnsi="微软雅黑" w:eastAsia="微软雅黑" w:cs="微软雅黑"/>
              <w:szCs w:val="48"/>
              <w:lang w:val="en-US" w:eastAsia="zh-CN"/>
            </w:rPr>
            <w:fldChar w:fldCharType="end"/>
          </w:r>
        </w:p>
        <w:p>
          <w:pPr>
            <w:jc w:val="center"/>
            <w:rPr>
              <w:rFonts w:hint="eastAsia" w:ascii="微软雅黑" w:hAnsi="微软雅黑" w:eastAsia="微软雅黑" w:cs="微软雅黑"/>
              <w:kern w:val="2"/>
              <w:sz w:val="21"/>
              <w:szCs w:val="48"/>
              <w:lang w:val="en-US" w:eastAsia="zh-CN" w:bidi="ar-SA"/>
            </w:rPr>
            <w:sectPr>
              <w:pgSz w:w="11906" w:h="16838"/>
              <w:pgMar w:top="1440" w:right="1123" w:bottom="1440" w:left="1123" w:header="851" w:footer="992" w:gutter="0"/>
              <w:cols w:space="425" w:num="1"/>
              <w:docGrid w:type="lines" w:linePitch="312" w:charSpace="0"/>
            </w:sectPr>
          </w:pPr>
          <w:r>
            <w:rPr>
              <w:rFonts w:hint="eastAsia" w:ascii="微软雅黑" w:hAnsi="微软雅黑" w:eastAsia="微软雅黑" w:cs="微软雅黑"/>
              <w:szCs w:val="48"/>
              <w:lang w:val="en-US" w:eastAsia="zh-CN"/>
            </w:rPr>
            <w:fldChar w:fldCharType="end"/>
          </w:r>
        </w:p>
      </w:sdtContent>
    </w:sdt>
    <w:p>
      <w:pPr>
        <w:jc w:val="center"/>
        <w:outlineLvl w:val="0"/>
        <w:rPr>
          <w:rFonts w:hint="eastAsia" w:ascii="微软雅黑" w:hAnsi="微软雅黑" w:eastAsia="微软雅黑" w:cs="微软雅黑"/>
          <w:b/>
          <w:bCs/>
          <w:sz w:val="52"/>
          <w:szCs w:val="52"/>
        </w:rPr>
      </w:pPr>
      <w:bookmarkStart w:id="0" w:name="_Toc24615"/>
      <w:r>
        <w:rPr>
          <w:rFonts w:hint="eastAsia" w:ascii="微软雅黑" w:hAnsi="微软雅黑" w:eastAsia="微软雅黑" w:cs="微软雅黑"/>
          <w:b w:val="0"/>
          <w:bCs w:val="0"/>
          <w:sz w:val="52"/>
          <w:szCs w:val="52"/>
        </w:rPr>
        <w:t>修订记录</w:t>
      </w:r>
      <w:bookmarkEnd w:id="0"/>
    </w:p>
    <w:p>
      <w:pPr>
        <w:wordWrap w:val="0"/>
        <w:spacing w:line="360" w:lineRule="auto"/>
        <w:jc w:val="center"/>
        <w:rPr>
          <w:rFonts w:hint="eastAsia" w:ascii="宋体" w:hAnsi="宋体" w:cs="宋体"/>
          <w:b/>
          <w:bCs/>
          <w:szCs w:val="21"/>
        </w:rPr>
      </w:pPr>
    </w:p>
    <w:tbl>
      <w:tblPr>
        <w:tblStyle w:val="5"/>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375"/>
        <w:gridCol w:w="4268"/>
        <w:gridCol w:w="1234"/>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b/>
                <w:bCs/>
                <w:szCs w:val="21"/>
              </w:rPr>
            </w:pPr>
            <w:r>
              <w:rPr>
                <w:rFonts w:hint="eastAsia" w:ascii="宋体" w:hAnsi="宋体" w:cs="宋体"/>
                <w:b/>
                <w:bCs/>
                <w:szCs w:val="21"/>
              </w:rPr>
              <w:t>编号</w:t>
            </w:r>
          </w:p>
        </w:tc>
        <w:tc>
          <w:tcPr>
            <w:tcW w:w="1375" w:type="dxa"/>
            <w:noWrap w:val="0"/>
            <w:vAlign w:val="center"/>
          </w:tcPr>
          <w:p>
            <w:pPr>
              <w:wordWrap w:val="0"/>
              <w:spacing w:line="360" w:lineRule="auto"/>
              <w:jc w:val="center"/>
              <w:rPr>
                <w:rFonts w:hint="eastAsia" w:ascii="宋体" w:hAnsi="宋体" w:cs="宋体"/>
                <w:b/>
                <w:bCs/>
                <w:szCs w:val="21"/>
              </w:rPr>
            </w:pPr>
            <w:r>
              <w:rPr>
                <w:rFonts w:hint="eastAsia" w:ascii="宋体" w:hAnsi="宋体" w:cs="宋体"/>
                <w:b/>
                <w:bCs/>
                <w:szCs w:val="21"/>
              </w:rPr>
              <w:t>时间</w:t>
            </w:r>
          </w:p>
        </w:tc>
        <w:tc>
          <w:tcPr>
            <w:tcW w:w="4268" w:type="dxa"/>
            <w:noWrap w:val="0"/>
            <w:vAlign w:val="center"/>
          </w:tcPr>
          <w:p>
            <w:pPr>
              <w:wordWrap w:val="0"/>
              <w:spacing w:line="360" w:lineRule="auto"/>
              <w:jc w:val="center"/>
              <w:rPr>
                <w:rFonts w:hint="eastAsia" w:ascii="宋体" w:hAnsi="宋体" w:cs="宋体"/>
                <w:b/>
                <w:bCs/>
                <w:szCs w:val="21"/>
              </w:rPr>
            </w:pPr>
            <w:r>
              <w:rPr>
                <w:rFonts w:hint="eastAsia" w:ascii="宋体" w:hAnsi="宋体" w:cs="宋体"/>
                <w:b/>
                <w:bCs/>
                <w:szCs w:val="21"/>
              </w:rPr>
              <w:t>修改内容</w:t>
            </w:r>
          </w:p>
        </w:tc>
        <w:tc>
          <w:tcPr>
            <w:tcW w:w="1234" w:type="dxa"/>
            <w:noWrap w:val="0"/>
            <w:vAlign w:val="center"/>
          </w:tcPr>
          <w:p>
            <w:pPr>
              <w:wordWrap w:val="0"/>
              <w:spacing w:line="360" w:lineRule="auto"/>
              <w:jc w:val="center"/>
              <w:rPr>
                <w:rFonts w:hint="eastAsia" w:ascii="宋体" w:hAnsi="宋体" w:cs="宋体"/>
                <w:b/>
                <w:bCs/>
                <w:szCs w:val="21"/>
              </w:rPr>
            </w:pPr>
            <w:r>
              <w:rPr>
                <w:rFonts w:hint="eastAsia" w:ascii="宋体" w:hAnsi="宋体" w:cs="宋体"/>
                <w:b/>
                <w:bCs/>
                <w:szCs w:val="21"/>
              </w:rPr>
              <w:t>版本号</w:t>
            </w:r>
          </w:p>
        </w:tc>
        <w:tc>
          <w:tcPr>
            <w:tcW w:w="1599" w:type="dxa"/>
            <w:noWrap w:val="0"/>
            <w:vAlign w:val="center"/>
          </w:tcPr>
          <w:p>
            <w:pPr>
              <w:wordWrap w:val="0"/>
              <w:spacing w:line="360" w:lineRule="auto"/>
              <w:jc w:val="center"/>
              <w:rPr>
                <w:rFonts w:hint="eastAsia" w:ascii="宋体" w:hAnsi="宋体" w:cs="宋体"/>
                <w:b/>
                <w:bCs/>
                <w:szCs w:val="21"/>
              </w:rPr>
            </w:pPr>
            <w:r>
              <w:rPr>
                <w:rFonts w:hint="eastAsia" w:ascii="宋体" w:hAnsi="宋体" w:cs="宋体"/>
                <w:b/>
                <w:bCs/>
                <w:szCs w:val="21"/>
              </w:rPr>
              <w:t>修改人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rPr>
              <w:t>1</w:t>
            </w:r>
          </w:p>
        </w:tc>
        <w:tc>
          <w:tcPr>
            <w:tcW w:w="1375" w:type="dxa"/>
            <w:noWrap w:val="0"/>
            <w:vAlign w:val="center"/>
          </w:tcPr>
          <w:p>
            <w:pPr>
              <w:wordWrap w:val="0"/>
              <w:spacing w:line="360" w:lineRule="auto"/>
              <w:jc w:val="center"/>
              <w:rPr>
                <w:rFonts w:hint="eastAsia" w:ascii="宋体" w:hAnsi="宋体" w:cs="宋体"/>
                <w:sz w:val="21"/>
                <w:szCs w:val="21"/>
              </w:rPr>
            </w:pPr>
            <w:r>
              <w:rPr>
                <w:rFonts w:hint="eastAsia" w:ascii="宋体" w:hAnsi="宋体" w:cs="宋体"/>
                <w:sz w:val="21"/>
                <w:szCs w:val="21"/>
              </w:rPr>
              <w:t>20</w:t>
            </w:r>
            <w:r>
              <w:rPr>
                <w:rFonts w:hint="eastAsia" w:ascii="宋体" w:hAnsi="宋体" w:cs="宋体"/>
                <w:sz w:val="21"/>
                <w:szCs w:val="21"/>
                <w:lang w:val="en-US" w:eastAsia="zh-CN"/>
              </w:rPr>
              <w:t>24</w:t>
            </w:r>
            <w:r>
              <w:rPr>
                <w:rFonts w:hint="eastAsia" w:ascii="宋体" w:hAnsi="宋体" w:cs="宋体"/>
                <w:sz w:val="21"/>
                <w:szCs w:val="21"/>
              </w:rPr>
              <w:t>/0</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18</w:t>
            </w:r>
          </w:p>
        </w:tc>
        <w:tc>
          <w:tcPr>
            <w:tcW w:w="4268" w:type="dxa"/>
            <w:noWrap w:val="0"/>
            <w:vAlign w:val="center"/>
          </w:tcPr>
          <w:p>
            <w:pPr>
              <w:wordWrap w:val="0"/>
              <w:spacing w:line="360" w:lineRule="auto"/>
              <w:jc w:val="left"/>
              <w:rPr>
                <w:rFonts w:hint="eastAsia" w:ascii="宋体" w:hAnsi="宋体" w:cs="宋体"/>
                <w:sz w:val="18"/>
                <w:szCs w:val="18"/>
              </w:rPr>
            </w:pPr>
            <w:r>
              <w:rPr>
                <w:rFonts w:hint="eastAsia" w:ascii="宋体" w:hAnsi="宋体" w:cs="宋体"/>
                <w:sz w:val="18"/>
                <w:szCs w:val="18"/>
              </w:rPr>
              <w:t>初稿</w:t>
            </w:r>
          </w:p>
        </w:tc>
        <w:tc>
          <w:tcPr>
            <w:tcW w:w="1234" w:type="dxa"/>
            <w:noWrap w:val="0"/>
            <w:vAlign w:val="center"/>
          </w:tcPr>
          <w:p>
            <w:pPr>
              <w:wordWrap w:val="0"/>
              <w:spacing w:line="360" w:lineRule="auto"/>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.0.1</w:t>
            </w:r>
          </w:p>
        </w:tc>
        <w:tc>
          <w:tcPr>
            <w:tcW w:w="1599"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lang w:val="en-US" w:eastAsia="zh-CN"/>
              </w:rPr>
              <w:t>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rPr>
              <w:t>2</w:t>
            </w:r>
          </w:p>
        </w:tc>
        <w:tc>
          <w:tcPr>
            <w:tcW w:w="1375" w:type="dxa"/>
            <w:noWrap w:val="0"/>
            <w:vAlign w:val="center"/>
          </w:tcPr>
          <w:p>
            <w:pPr>
              <w:wordWrap w:val="0"/>
              <w:spacing w:line="360" w:lineRule="auto"/>
              <w:jc w:val="center"/>
              <w:rPr>
                <w:rFonts w:hint="eastAsia" w:ascii="宋体" w:hAnsi="宋体" w:cs="宋体"/>
                <w:sz w:val="21"/>
                <w:szCs w:val="21"/>
              </w:rPr>
            </w:pPr>
            <w:r>
              <w:rPr>
                <w:rFonts w:ascii="宋体" w:hAnsi="宋体" w:cs="宋体"/>
                <w:sz w:val="21"/>
                <w:szCs w:val="21"/>
              </w:rPr>
              <w:t>20</w:t>
            </w:r>
            <w:r>
              <w:rPr>
                <w:rFonts w:hint="eastAsia" w:ascii="宋体" w:hAnsi="宋体" w:cs="宋体"/>
                <w:sz w:val="21"/>
                <w:szCs w:val="21"/>
                <w:lang w:val="en-US" w:eastAsia="zh-CN"/>
              </w:rPr>
              <w:t>24</w:t>
            </w:r>
            <w:r>
              <w:rPr>
                <w:rFonts w:ascii="宋体" w:hAnsi="宋体" w:cs="宋体"/>
                <w:sz w:val="21"/>
                <w:szCs w:val="21"/>
              </w:rPr>
              <w:t>/0</w:t>
            </w:r>
            <w:r>
              <w:rPr>
                <w:rFonts w:hint="eastAsia" w:ascii="宋体" w:hAnsi="宋体" w:cs="宋体"/>
                <w:sz w:val="21"/>
                <w:szCs w:val="21"/>
                <w:lang w:val="en-US" w:eastAsia="zh-CN"/>
              </w:rPr>
              <w:t>3</w:t>
            </w:r>
            <w:r>
              <w:rPr>
                <w:rFonts w:ascii="宋体" w:hAnsi="宋体" w:cs="宋体"/>
                <w:sz w:val="21"/>
                <w:szCs w:val="21"/>
              </w:rPr>
              <w:t>/2</w:t>
            </w:r>
            <w:r>
              <w:rPr>
                <w:rFonts w:hint="eastAsia" w:ascii="宋体" w:hAnsi="宋体" w:cs="宋体"/>
                <w:sz w:val="21"/>
                <w:szCs w:val="21"/>
                <w:lang w:val="en-US" w:eastAsia="zh-CN"/>
              </w:rPr>
              <w:t>1</w:t>
            </w:r>
          </w:p>
        </w:tc>
        <w:tc>
          <w:tcPr>
            <w:tcW w:w="4268" w:type="dxa"/>
            <w:noWrap w:val="0"/>
            <w:vAlign w:val="center"/>
          </w:tcPr>
          <w:p>
            <w:pPr>
              <w:wordWrap w:val="0"/>
              <w:spacing w:line="360" w:lineRule="auto"/>
              <w:jc w:val="left"/>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增加开票操作流程</w:t>
            </w:r>
          </w:p>
        </w:tc>
        <w:tc>
          <w:tcPr>
            <w:tcW w:w="1234" w:type="dxa"/>
            <w:noWrap w:val="0"/>
            <w:vAlign w:val="center"/>
          </w:tcPr>
          <w:p>
            <w:pPr>
              <w:wordWrap w:val="0"/>
              <w:spacing w:line="360" w:lineRule="auto"/>
              <w:jc w:val="center"/>
              <w:rPr>
                <w:rFonts w:ascii="宋体" w:hAnsi="宋体" w:cs="宋体"/>
                <w:sz w:val="21"/>
                <w:szCs w:val="21"/>
              </w:rPr>
            </w:pPr>
            <w:r>
              <w:rPr>
                <w:rFonts w:hint="eastAsia" w:ascii="宋体" w:hAnsi="宋体" w:cs="宋体"/>
                <w:sz w:val="21"/>
                <w:szCs w:val="21"/>
              </w:rPr>
              <w:t>1.0.2</w:t>
            </w:r>
          </w:p>
        </w:tc>
        <w:tc>
          <w:tcPr>
            <w:tcW w:w="1599"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lang w:val="en-US" w:eastAsia="zh-CN"/>
              </w:rPr>
              <w:t>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rPr>
              <w:t>3</w:t>
            </w:r>
          </w:p>
        </w:tc>
        <w:tc>
          <w:tcPr>
            <w:tcW w:w="1375" w:type="dxa"/>
            <w:noWrap w:val="0"/>
            <w:vAlign w:val="center"/>
          </w:tcPr>
          <w:p>
            <w:pPr>
              <w:wordWrap w:val="0"/>
              <w:spacing w:line="360" w:lineRule="auto"/>
              <w:jc w:val="center"/>
              <w:rPr>
                <w:rFonts w:ascii="宋体" w:hAnsi="宋体" w:cs="宋体"/>
                <w:sz w:val="21"/>
                <w:szCs w:val="21"/>
              </w:rPr>
            </w:pPr>
            <w:r>
              <w:rPr>
                <w:rFonts w:ascii="宋体" w:hAnsi="宋体" w:cs="宋体"/>
                <w:sz w:val="21"/>
                <w:szCs w:val="21"/>
              </w:rPr>
              <w:t>20</w:t>
            </w:r>
            <w:r>
              <w:rPr>
                <w:rFonts w:hint="eastAsia" w:ascii="宋体" w:hAnsi="宋体" w:cs="宋体"/>
                <w:sz w:val="21"/>
                <w:szCs w:val="21"/>
                <w:lang w:val="en-US" w:eastAsia="zh-CN"/>
              </w:rPr>
              <w:t>24</w:t>
            </w:r>
            <w:r>
              <w:rPr>
                <w:rFonts w:ascii="宋体" w:hAnsi="宋体" w:cs="宋体"/>
                <w:sz w:val="21"/>
                <w:szCs w:val="21"/>
              </w:rPr>
              <w:t>/0</w:t>
            </w:r>
            <w:r>
              <w:rPr>
                <w:rFonts w:hint="eastAsia" w:ascii="宋体" w:hAnsi="宋体" w:cs="宋体"/>
                <w:sz w:val="21"/>
                <w:szCs w:val="21"/>
                <w:lang w:val="en-US" w:eastAsia="zh-CN"/>
              </w:rPr>
              <w:t>3</w:t>
            </w:r>
            <w:r>
              <w:rPr>
                <w:rFonts w:ascii="宋体" w:hAnsi="宋体" w:cs="宋体"/>
                <w:sz w:val="21"/>
                <w:szCs w:val="21"/>
              </w:rPr>
              <w:t>/2</w:t>
            </w:r>
            <w:r>
              <w:rPr>
                <w:rFonts w:hint="eastAsia" w:ascii="宋体" w:hAnsi="宋体" w:cs="宋体"/>
                <w:sz w:val="21"/>
                <w:szCs w:val="21"/>
                <w:lang w:val="en-US" w:eastAsia="zh-CN"/>
              </w:rPr>
              <w:t>1</w:t>
            </w:r>
          </w:p>
        </w:tc>
        <w:tc>
          <w:tcPr>
            <w:tcW w:w="4268" w:type="dxa"/>
            <w:noWrap w:val="0"/>
            <w:vAlign w:val="center"/>
          </w:tcPr>
          <w:p>
            <w:pPr>
              <w:wordWrap w:val="0"/>
              <w:spacing w:line="360" w:lineRule="auto"/>
              <w:jc w:val="left"/>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增加通知</w:t>
            </w:r>
          </w:p>
        </w:tc>
        <w:tc>
          <w:tcPr>
            <w:tcW w:w="1234" w:type="dxa"/>
            <w:noWrap w:val="0"/>
            <w:vAlign w:val="center"/>
          </w:tcPr>
          <w:p>
            <w:pPr>
              <w:wordWrap w:val="0"/>
              <w:spacing w:line="360" w:lineRule="auto"/>
              <w:jc w:val="center"/>
              <w:rPr>
                <w:rFonts w:hint="eastAsia" w:ascii="宋体" w:hAnsi="宋体" w:cs="宋体"/>
                <w:sz w:val="21"/>
                <w:szCs w:val="21"/>
              </w:rPr>
            </w:pPr>
            <w:r>
              <w:rPr>
                <w:rFonts w:hint="eastAsia" w:ascii="宋体" w:hAnsi="宋体" w:cs="宋体"/>
                <w:sz w:val="21"/>
                <w:szCs w:val="21"/>
              </w:rPr>
              <w:t>1.0.3</w:t>
            </w:r>
          </w:p>
        </w:tc>
        <w:tc>
          <w:tcPr>
            <w:tcW w:w="1599"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lang w:val="en-US" w:eastAsia="zh-CN"/>
              </w:rPr>
              <w:t>陈素芬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rPr>
              <w:t>4</w:t>
            </w:r>
          </w:p>
        </w:tc>
        <w:tc>
          <w:tcPr>
            <w:tcW w:w="1375" w:type="dxa"/>
            <w:noWrap w:val="0"/>
            <w:vAlign w:val="center"/>
          </w:tcPr>
          <w:p>
            <w:pPr>
              <w:wordWrap w:val="0"/>
              <w:spacing w:line="360" w:lineRule="auto"/>
              <w:jc w:val="center"/>
              <w:rPr>
                <w:rFonts w:hint="default" w:ascii="宋体" w:hAnsi="宋体" w:cs="宋体" w:eastAsiaTheme="minorEastAsia"/>
                <w:sz w:val="21"/>
                <w:szCs w:val="21"/>
                <w:lang w:val="en-US" w:eastAsia="zh-CN"/>
              </w:rPr>
            </w:pPr>
            <w:r>
              <w:rPr>
                <w:rFonts w:ascii="宋体" w:hAnsi="宋体" w:cs="宋体"/>
                <w:sz w:val="21"/>
                <w:szCs w:val="21"/>
              </w:rPr>
              <w:t>20</w:t>
            </w:r>
            <w:r>
              <w:rPr>
                <w:rFonts w:hint="eastAsia" w:ascii="宋体" w:hAnsi="宋体" w:cs="宋体"/>
                <w:sz w:val="21"/>
                <w:szCs w:val="21"/>
                <w:lang w:val="en-US" w:eastAsia="zh-CN"/>
              </w:rPr>
              <w:t>24</w:t>
            </w:r>
            <w:r>
              <w:rPr>
                <w:rFonts w:ascii="宋体" w:hAnsi="宋体" w:cs="宋体"/>
                <w:sz w:val="21"/>
                <w:szCs w:val="21"/>
              </w:rPr>
              <w:t>/0</w:t>
            </w:r>
            <w:r>
              <w:rPr>
                <w:rFonts w:hint="eastAsia" w:ascii="宋体" w:hAnsi="宋体" w:cs="宋体"/>
                <w:sz w:val="21"/>
                <w:szCs w:val="21"/>
                <w:lang w:val="en-US" w:eastAsia="zh-CN"/>
              </w:rPr>
              <w:t>4</w:t>
            </w:r>
            <w:r>
              <w:rPr>
                <w:rFonts w:ascii="宋体" w:hAnsi="宋体" w:cs="宋体"/>
                <w:sz w:val="21"/>
                <w:szCs w:val="21"/>
              </w:rPr>
              <w:t>/</w:t>
            </w:r>
            <w:r>
              <w:rPr>
                <w:rFonts w:hint="eastAsia" w:ascii="宋体" w:hAnsi="宋体" w:cs="宋体"/>
                <w:sz w:val="21"/>
                <w:szCs w:val="21"/>
                <w:lang w:val="en-US" w:eastAsia="zh-CN"/>
              </w:rPr>
              <w:t>10</w:t>
            </w:r>
          </w:p>
        </w:tc>
        <w:tc>
          <w:tcPr>
            <w:tcW w:w="4268" w:type="dxa"/>
            <w:noWrap w:val="0"/>
            <w:vAlign w:val="center"/>
          </w:tcPr>
          <w:p>
            <w:pPr>
              <w:wordWrap w:val="0"/>
              <w:spacing w:line="360" w:lineRule="auto"/>
              <w:jc w:val="left"/>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修改申领发票、授信额度</w:t>
            </w:r>
          </w:p>
        </w:tc>
        <w:tc>
          <w:tcPr>
            <w:tcW w:w="1234" w:type="dxa"/>
            <w:noWrap w:val="0"/>
            <w:vAlign w:val="center"/>
          </w:tcPr>
          <w:p>
            <w:pPr>
              <w:wordWrap w:val="0"/>
              <w:spacing w:line="360" w:lineRule="auto"/>
              <w:jc w:val="center"/>
              <w:rPr>
                <w:rFonts w:hint="eastAsia" w:ascii="宋体" w:hAnsi="宋体" w:cs="宋体"/>
                <w:sz w:val="21"/>
                <w:szCs w:val="21"/>
              </w:rPr>
            </w:pPr>
            <w:r>
              <w:rPr>
                <w:rFonts w:ascii="宋体" w:hAnsi="宋体" w:cs="宋体"/>
                <w:sz w:val="21"/>
                <w:szCs w:val="21"/>
              </w:rPr>
              <w:t>1.0.4</w:t>
            </w:r>
          </w:p>
        </w:tc>
        <w:tc>
          <w:tcPr>
            <w:tcW w:w="1599"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lang w:val="en-US" w:eastAsia="zh-CN"/>
              </w:rPr>
              <w:t>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rPr>
              <w:t>5</w:t>
            </w:r>
          </w:p>
        </w:tc>
        <w:tc>
          <w:tcPr>
            <w:tcW w:w="1375" w:type="dxa"/>
            <w:noWrap w:val="0"/>
            <w:vAlign w:val="center"/>
          </w:tcPr>
          <w:p>
            <w:pPr>
              <w:wordWrap w:val="0"/>
              <w:spacing w:line="360" w:lineRule="auto"/>
              <w:jc w:val="center"/>
              <w:rPr>
                <w:rFonts w:ascii="宋体" w:hAnsi="宋体" w:cs="宋体"/>
                <w:sz w:val="21"/>
                <w:szCs w:val="21"/>
              </w:rPr>
            </w:pPr>
            <w:r>
              <w:rPr>
                <w:rFonts w:ascii="宋体" w:hAnsi="宋体" w:cs="宋体"/>
                <w:sz w:val="21"/>
                <w:szCs w:val="21"/>
              </w:rPr>
              <w:t>20</w:t>
            </w:r>
            <w:r>
              <w:rPr>
                <w:rFonts w:hint="eastAsia" w:ascii="宋体" w:hAnsi="宋体" w:cs="宋体"/>
                <w:sz w:val="21"/>
                <w:szCs w:val="21"/>
                <w:lang w:val="en-US" w:eastAsia="zh-CN"/>
              </w:rPr>
              <w:t>24</w:t>
            </w:r>
            <w:r>
              <w:rPr>
                <w:rFonts w:ascii="宋体" w:hAnsi="宋体" w:cs="宋体"/>
                <w:sz w:val="21"/>
                <w:szCs w:val="21"/>
              </w:rPr>
              <w:t>/0</w:t>
            </w:r>
            <w:r>
              <w:rPr>
                <w:rFonts w:hint="eastAsia" w:ascii="宋体" w:hAnsi="宋体" w:cs="宋体"/>
                <w:sz w:val="21"/>
                <w:szCs w:val="21"/>
                <w:lang w:val="en-US" w:eastAsia="zh-CN"/>
              </w:rPr>
              <w:t>4</w:t>
            </w:r>
            <w:r>
              <w:rPr>
                <w:rFonts w:ascii="宋体" w:hAnsi="宋体" w:cs="宋体"/>
                <w:sz w:val="21"/>
                <w:szCs w:val="21"/>
              </w:rPr>
              <w:t>/</w:t>
            </w:r>
            <w:r>
              <w:rPr>
                <w:rFonts w:hint="eastAsia" w:ascii="宋体" w:hAnsi="宋体" w:cs="宋体"/>
                <w:sz w:val="21"/>
                <w:szCs w:val="21"/>
                <w:lang w:val="en-US" w:eastAsia="zh-CN"/>
              </w:rPr>
              <w:t>19</w:t>
            </w:r>
          </w:p>
        </w:tc>
        <w:tc>
          <w:tcPr>
            <w:tcW w:w="4268" w:type="dxa"/>
            <w:noWrap w:val="0"/>
            <w:vAlign w:val="center"/>
          </w:tcPr>
          <w:p>
            <w:pPr>
              <w:wordWrap w:val="0"/>
              <w:spacing w:line="360" w:lineRule="auto"/>
              <w:jc w:val="left"/>
              <w:rPr>
                <w:rFonts w:hint="eastAsia" w:ascii="宋体" w:hAnsi="宋体" w:cs="宋体"/>
                <w:sz w:val="18"/>
                <w:szCs w:val="18"/>
              </w:rPr>
            </w:pPr>
            <w:r>
              <w:rPr>
                <w:rFonts w:hint="eastAsia" w:ascii="宋体" w:hAnsi="宋体" w:cs="宋体"/>
                <w:sz w:val="18"/>
                <w:szCs w:val="18"/>
                <w:lang w:val="en-US" w:eastAsia="zh-CN"/>
              </w:rPr>
              <w:t>去掉票号管理</w:t>
            </w:r>
          </w:p>
        </w:tc>
        <w:tc>
          <w:tcPr>
            <w:tcW w:w="1234" w:type="dxa"/>
            <w:noWrap w:val="0"/>
            <w:vAlign w:val="center"/>
          </w:tcPr>
          <w:p>
            <w:pPr>
              <w:wordWrap w:val="0"/>
              <w:spacing w:line="360" w:lineRule="auto"/>
              <w:jc w:val="center"/>
              <w:rPr>
                <w:rFonts w:ascii="宋体" w:hAnsi="宋体" w:cs="宋体"/>
                <w:sz w:val="21"/>
                <w:szCs w:val="21"/>
              </w:rPr>
            </w:pPr>
            <w:r>
              <w:rPr>
                <w:rFonts w:ascii="宋体" w:hAnsi="宋体" w:cs="宋体"/>
                <w:sz w:val="21"/>
                <w:szCs w:val="21"/>
              </w:rPr>
              <w:t>1.0.5</w:t>
            </w:r>
          </w:p>
        </w:tc>
        <w:tc>
          <w:tcPr>
            <w:tcW w:w="1599" w:type="dxa"/>
            <w:noWrap w:val="0"/>
            <w:vAlign w:val="center"/>
          </w:tcPr>
          <w:p>
            <w:pPr>
              <w:wordWrap w:val="0"/>
              <w:spacing w:line="360" w:lineRule="auto"/>
              <w:jc w:val="center"/>
              <w:rPr>
                <w:rFonts w:hint="eastAsia" w:ascii="宋体" w:hAnsi="宋体" w:cs="宋体"/>
                <w:sz w:val="18"/>
                <w:szCs w:val="18"/>
              </w:rPr>
            </w:pPr>
            <w:r>
              <w:rPr>
                <w:rFonts w:hint="eastAsia" w:ascii="宋体" w:hAnsi="宋体" w:cs="宋体"/>
                <w:sz w:val="18"/>
                <w:szCs w:val="18"/>
                <w:lang w:val="en-US" w:eastAsia="zh-CN"/>
              </w:rPr>
              <w:t>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6</w:t>
            </w:r>
          </w:p>
        </w:tc>
        <w:tc>
          <w:tcPr>
            <w:tcW w:w="1375" w:type="dxa"/>
            <w:noWrap w:val="0"/>
            <w:vAlign w:val="center"/>
          </w:tcPr>
          <w:p>
            <w:pPr>
              <w:wordWrap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2024/04/22</w:t>
            </w:r>
          </w:p>
        </w:tc>
        <w:tc>
          <w:tcPr>
            <w:tcW w:w="4268" w:type="dxa"/>
            <w:noWrap w:val="0"/>
            <w:vAlign w:val="center"/>
          </w:tcPr>
          <w:p>
            <w:pPr>
              <w:wordWrap w:val="0"/>
              <w:spacing w:line="360" w:lineRule="auto"/>
              <w:jc w:val="left"/>
              <w:rPr>
                <w:rFonts w:hint="default" w:ascii="宋体" w:hAnsi="宋体" w:cs="宋体"/>
                <w:sz w:val="18"/>
                <w:szCs w:val="18"/>
                <w:lang w:val="en-US" w:eastAsia="zh-CN"/>
              </w:rPr>
            </w:pPr>
            <w:r>
              <w:rPr>
                <w:rFonts w:hint="eastAsia" w:ascii="宋体" w:hAnsi="宋体" w:cs="宋体"/>
                <w:sz w:val="18"/>
                <w:szCs w:val="18"/>
                <w:lang w:val="en-US" w:eastAsia="zh-CN"/>
              </w:rPr>
              <w:t>一、4增加授权开票能力图例</w:t>
            </w:r>
          </w:p>
        </w:tc>
        <w:tc>
          <w:tcPr>
            <w:tcW w:w="1234" w:type="dxa"/>
            <w:noWrap w:val="0"/>
            <w:vAlign w:val="center"/>
          </w:tcPr>
          <w:p>
            <w:pPr>
              <w:wordWrap w:val="0"/>
              <w:spacing w:line="360" w:lineRule="auto"/>
              <w:jc w:val="center"/>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1.0.6</w:t>
            </w:r>
          </w:p>
        </w:tc>
        <w:tc>
          <w:tcPr>
            <w:tcW w:w="1599" w:type="dxa"/>
            <w:noWrap w:val="0"/>
            <w:vAlign w:val="center"/>
          </w:tcPr>
          <w:p>
            <w:pPr>
              <w:wordWrap w:val="0"/>
              <w:spacing w:line="360"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7</w:t>
            </w:r>
          </w:p>
        </w:tc>
        <w:tc>
          <w:tcPr>
            <w:tcW w:w="1375" w:type="dxa"/>
            <w:noWrap w:val="0"/>
            <w:vAlign w:val="center"/>
          </w:tcPr>
          <w:p>
            <w:pPr>
              <w:wordWrap w:val="0"/>
              <w:spacing w:line="360" w:lineRule="auto"/>
              <w:jc w:val="center"/>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2024/04/24</w:t>
            </w:r>
          </w:p>
        </w:tc>
        <w:tc>
          <w:tcPr>
            <w:tcW w:w="4268" w:type="dxa"/>
            <w:noWrap w:val="0"/>
            <w:vAlign w:val="center"/>
          </w:tcPr>
          <w:p>
            <w:pPr>
              <w:wordWrap w:val="0"/>
              <w:spacing w:line="360" w:lineRule="auto"/>
              <w:jc w:val="left"/>
              <w:rPr>
                <w:rFonts w:hint="default" w:ascii="宋体" w:hAnsi="宋体" w:cs="宋体"/>
                <w:sz w:val="18"/>
                <w:szCs w:val="18"/>
                <w:lang w:val="en-US" w:eastAsia="zh-CN"/>
              </w:rPr>
            </w:pPr>
            <w:r>
              <w:rPr>
                <w:rFonts w:hint="eastAsia" w:ascii="宋体" w:hAnsi="宋体" w:cs="宋体"/>
                <w:sz w:val="18"/>
                <w:szCs w:val="18"/>
                <w:lang w:val="en-US" w:eastAsia="zh-CN"/>
              </w:rPr>
              <w:t>二、1增加乐企配置图例</w:t>
            </w:r>
          </w:p>
        </w:tc>
        <w:tc>
          <w:tcPr>
            <w:tcW w:w="1234" w:type="dxa"/>
            <w:noWrap w:val="0"/>
            <w:vAlign w:val="center"/>
          </w:tcPr>
          <w:p>
            <w:pPr>
              <w:wordWrap w:val="0"/>
              <w:spacing w:line="360" w:lineRule="auto"/>
              <w:jc w:val="center"/>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1.0.7</w:t>
            </w:r>
          </w:p>
        </w:tc>
        <w:tc>
          <w:tcPr>
            <w:tcW w:w="1599" w:type="dxa"/>
            <w:noWrap w:val="0"/>
            <w:vAlign w:val="center"/>
          </w:tcPr>
          <w:p>
            <w:pPr>
              <w:wordWrap w:val="0"/>
              <w:spacing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潘志超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8</w:t>
            </w:r>
          </w:p>
        </w:tc>
        <w:tc>
          <w:tcPr>
            <w:tcW w:w="1375" w:type="dxa"/>
            <w:noWrap w:val="0"/>
            <w:vAlign w:val="center"/>
          </w:tcPr>
          <w:p>
            <w:pPr>
              <w:wordWrap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2024/05/06</w:t>
            </w:r>
          </w:p>
        </w:tc>
        <w:tc>
          <w:tcPr>
            <w:tcW w:w="4268" w:type="dxa"/>
            <w:noWrap w:val="0"/>
            <w:vAlign w:val="center"/>
          </w:tcPr>
          <w:p>
            <w:pPr>
              <w:wordWrap w:val="0"/>
              <w:spacing w:line="360" w:lineRule="auto"/>
              <w:jc w:val="left"/>
              <w:rPr>
                <w:rFonts w:hint="default" w:ascii="宋体" w:hAnsi="宋体" w:cs="宋体"/>
                <w:sz w:val="18"/>
                <w:szCs w:val="18"/>
                <w:lang w:val="en-US" w:eastAsia="zh-CN"/>
              </w:rPr>
            </w:pPr>
            <w:r>
              <w:rPr>
                <w:rFonts w:hint="eastAsia" w:ascii="宋体" w:hAnsi="宋体" w:cs="宋体"/>
                <w:sz w:val="18"/>
                <w:szCs w:val="18"/>
                <w:lang w:val="en-US" w:eastAsia="zh-CN"/>
              </w:rPr>
              <w:t>增加申请准备信息，增加部分图例，增加数电票汇总信息上传</w:t>
            </w:r>
          </w:p>
        </w:tc>
        <w:tc>
          <w:tcPr>
            <w:tcW w:w="1234" w:type="dxa"/>
            <w:noWrap w:val="0"/>
            <w:vAlign w:val="center"/>
          </w:tcPr>
          <w:p>
            <w:pPr>
              <w:wordWrap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1.0.8</w:t>
            </w:r>
          </w:p>
        </w:tc>
        <w:tc>
          <w:tcPr>
            <w:tcW w:w="1599" w:type="dxa"/>
            <w:noWrap w:val="0"/>
            <w:vAlign w:val="center"/>
          </w:tcPr>
          <w:p>
            <w:pPr>
              <w:wordWrap w:val="0"/>
              <w:spacing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潘志超，柯志勇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2" w:type="dxa"/>
            <w:noWrap w:val="0"/>
            <w:vAlign w:val="center"/>
          </w:tcPr>
          <w:p>
            <w:pPr>
              <w:wordWrap w:val="0"/>
              <w:spacing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9</w:t>
            </w:r>
          </w:p>
        </w:tc>
        <w:tc>
          <w:tcPr>
            <w:tcW w:w="1375" w:type="dxa"/>
            <w:noWrap w:val="0"/>
            <w:vAlign w:val="center"/>
          </w:tcPr>
          <w:p>
            <w:pPr>
              <w:wordWrap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2024/05/07</w:t>
            </w:r>
          </w:p>
        </w:tc>
        <w:tc>
          <w:tcPr>
            <w:tcW w:w="4268" w:type="dxa"/>
            <w:noWrap w:val="0"/>
            <w:vAlign w:val="center"/>
          </w:tcPr>
          <w:p>
            <w:pPr>
              <w:wordWrap w:val="0"/>
              <w:spacing w:line="360" w:lineRule="auto"/>
              <w:jc w:val="left"/>
              <w:rPr>
                <w:rFonts w:hint="default" w:ascii="宋体" w:hAnsi="宋体" w:cs="宋体"/>
                <w:sz w:val="18"/>
                <w:szCs w:val="18"/>
                <w:lang w:val="en-US" w:eastAsia="zh-CN"/>
              </w:rPr>
            </w:pPr>
            <w:r>
              <w:rPr>
                <w:rFonts w:hint="eastAsia" w:ascii="宋体" w:hAnsi="宋体" w:cs="宋体"/>
                <w:sz w:val="18"/>
                <w:szCs w:val="18"/>
                <w:lang w:val="en-US" w:eastAsia="zh-CN"/>
              </w:rPr>
              <w:t>乐企配置添加说明图例等……</w:t>
            </w:r>
          </w:p>
        </w:tc>
        <w:tc>
          <w:tcPr>
            <w:tcW w:w="1234" w:type="dxa"/>
            <w:noWrap w:val="0"/>
            <w:vAlign w:val="center"/>
          </w:tcPr>
          <w:p>
            <w:pPr>
              <w:wordWrap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1.0.9</w:t>
            </w:r>
          </w:p>
        </w:tc>
        <w:tc>
          <w:tcPr>
            <w:tcW w:w="1599" w:type="dxa"/>
            <w:noWrap w:val="0"/>
            <w:vAlign w:val="center"/>
          </w:tcPr>
          <w:p>
            <w:pPr>
              <w:wordWrap w:val="0"/>
              <w:spacing w:line="360" w:lineRule="auto"/>
              <w:jc w:val="center"/>
              <w:rPr>
                <w:rFonts w:hint="default" w:ascii="宋体" w:hAnsi="宋体" w:cs="宋体"/>
                <w:sz w:val="18"/>
                <w:szCs w:val="18"/>
                <w:lang w:val="en-US" w:eastAsia="zh-CN"/>
              </w:rPr>
            </w:pPr>
            <w:r>
              <w:rPr>
                <w:rFonts w:hint="eastAsia" w:ascii="宋体" w:hAnsi="宋体" w:cs="宋体"/>
                <w:sz w:val="18"/>
                <w:szCs w:val="18"/>
                <w:lang w:val="en-US" w:eastAsia="zh-CN"/>
              </w:rPr>
              <w:t>柯志勇</w:t>
            </w:r>
          </w:p>
        </w:tc>
      </w:tr>
    </w:tbl>
    <w:p>
      <w:pPr>
        <w:jc w:val="center"/>
        <w:rPr>
          <w:rFonts w:hint="eastAsia" w:ascii="微软雅黑" w:hAnsi="微软雅黑" w:eastAsia="微软雅黑" w:cs="微软雅黑"/>
          <w:kern w:val="2"/>
          <w:sz w:val="21"/>
          <w:szCs w:val="48"/>
          <w:lang w:val="en-US" w:eastAsia="zh-CN" w:bidi="ar-SA"/>
        </w:rPr>
        <w:sectPr>
          <w:pgSz w:w="11906" w:h="16838"/>
          <w:pgMar w:top="1440" w:right="1123" w:bottom="1440" w:left="1123" w:header="851" w:footer="992" w:gutter="0"/>
          <w:cols w:space="425" w:num="1"/>
          <w:docGrid w:type="lines" w:linePitch="312" w:charSpace="0"/>
        </w:sectPr>
      </w:pPr>
    </w:p>
    <w:p>
      <w:pPr>
        <w:jc w:val="left"/>
        <w:outlineLvl w:val="0"/>
        <w:rPr>
          <w:rFonts w:hint="default" w:ascii="微软雅黑" w:hAnsi="微软雅黑" w:eastAsia="微软雅黑" w:cs="微软雅黑"/>
          <w:b w:val="0"/>
          <w:bCs w:val="0"/>
          <w:sz w:val="48"/>
          <w:szCs w:val="48"/>
          <w:lang w:val="en-US" w:eastAsia="zh-CN"/>
        </w:rPr>
      </w:pPr>
      <w:bookmarkStart w:id="1" w:name="_Toc5398"/>
      <w:r>
        <w:rPr>
          <w:rFonts w:hint="eastAsia" w:ascii="微软雅黑" w:hAnsi="微软雅黑" w:eastAsia="微软雅黑" w:cs="微软雅黑"/>
          <w:b w:val="0"/>
          <w:bCs w:val="0"/>
          <w:sz w:val="48"/>
          <w:szCs w:val="48"/>
          <w:lang w:val="en-US" w:eastAsia="zh-CN"/>
        </w:rPr>
        <w:t>一、</w:t>
      </w:r>
      <w:bookmarkStart w:id="2" w:name="乐企申请流程"/>
      <w:bookmarkEnd w:id="2"/>
      <w:r>
        <w:rPr>
          <w:rFonts w:hint="eastAsia" w:ascii="微软雅黑" w:hAnsi="微软雅黑" w:eastAsia="微软雅黑" w:cs="微软雅黑"/>
          <w:b w:val="0"/>
          <w:bCs w:val="0"/>
          <w:sz w:val="48"/>
          <w:szCs w:val="48"/>
          <w:lang w:val="en-US" w:eastAsia="zh-CN"/>
        </w:rPr>
        <w:t>乐企联用开票申请流程</w:t>
      </w:r>
      <w:bookmarkEnd w:id="1"/>
    </w:p>
    <w:p>
      <w:pPr>
        <w:outlineLvl w:val="1"/>
        <w:rPr>
          <w:rFonts w:hint="eastAsia"/>
          <w:b/>
          <w:bCs/>
          <w:sz w:val="30"/>
          <w:szCs w:val="30"/>
          <w:lang w:val="en-US" w:eastAsia="zh-CN"/>
        </w:rPr>
      </w:pPr>
      <w:bookmarkStart w:id="3" w:name="_Toc21651"/>
      <w:r>
        <w:rPr>
          <w:rFonts w:hint="eastAsia"/>
          <w:b/>
          <w:bCs/>
          <w:sz w:val="30"/>
          <w:szCs w:val="30"/>
          <w:lang w:val="en-US" w:eastAsia="zh-CN"/>
        </w:rPr>
        <w:t>1、乐企申请准备：</w:t>
      </w:r>
      <w:bookmarkEnd w:id="3"/>
    </w:p>
    <w:p>
      <w:pPr>
        <w:numPr>
          <w:ilvl w:val="0"/>
          <w:numId w:val="0"/>
        </w:numPr>
        <w:ind w:firstLine="480" w:firstLineChars="200"/>
        <w:jc w:val="left"/>
      </w:pPr>
      <w:r>
        <w:rPr>
          <w:rFonts w:hint="eastAsia"/>
          <w:sz w:val="24"/>
          <w:szCs w:val="24"/>
          <w:lang w:val="en-US" w:eastAsia="zh-CN"/>
        </w:rPr>
        <w:t>物业企业提供</w:t>
      </w:r>
      <w:r>
        <w:rPr>
          <w:rFonts w:hint="eastAsia"/>
          <w:b/>
          <w:bCs/>
          <w:color w:val="FF0000"/>
          <w:sz w:val="24"/>
          <w:szCs w:val="24"/>
          <w:lang w:val="en-US" w:eastAsia="zh-CN"/>
        </w:rPr>
        <w:t>公司名称、税号、税务主管机关</w:t>
      </w:r>
      <w:r>
        <w:rPr>
          <w:rFonts w:hint="eastAsia"/>
          <w:sz w:val="24"/>
          <w:szCs w:val="24"/>
          <w:lang w:val="en-US" w:eastAsia="zh-CN"/>
        </w:rPr>
        <w:t>给领航，领航协助申请乐企开票平台；物业企业获取</w:t>
      </w:r>
      <w:r>
        <w:rPr>
          <w:rFonts w:hint="eastAsia"/>
          <w:b/>
          <w:bCs/>
          <w:sz w:val="24"/>
          <w:szCs w:val="24"/>
          <w:lang w:val="en-US" w:eastAsia="zh-CN"/>
        </w:rPr>
        <w:t>情况说明表</w:t>
      </w:r>
      <w:r>
        <w:rPr>
          <w:rFonts w:hint="eastAsia"/>
          <w:sz w:val="24"/>
          <w:szCs w:val="24"/>
          <w:lang w:val="en-US" w:eastAsia="zh-CN"/>
        </w:rPr>
        <w:t>以及有效期内的</w:t>
      </w:r>
      <w:r>
        <w:rPr>
          <w:rFonts w:hint="eastAsia"/>
          <w:b/>
          <w:bCs/>
          <w:sz w:val="24"/>
          <w:szCs w:val="24"/>
          <w:lang w:val="en-US" w:eastAsia="zh-CN"/>
        </w:rPr>
        <w:t>合同复印件</w:t>
      </w:r>
      <w:r>
        <w:rPr>
          <w:rFonts w:hint="eastAsia"/>
          <w:sz w:val="24"/>
          <w:szCs w:val="24"/>
          <w:lang w:val="en-US" w:eastAsia="zh-CN"/>
        </w:rPr>
        <w:t>，物业企业向当地税务主管机或专管员关申请（我要申请成为</w:t>
      </w:r>
      <w:r>
        <w:rPr>
          <w:rFonts w:hint="eastAsia"/>
          <w:b/>
          <w:bCs/>
          <w:color w:val="FF0000"/>
          <w:sz w:val="24"/>
          <w:szCs w:val="24"/>
          <w:lang w:val="en-US" w:eastAsia="zh-CN"/>
        </w:rPr>
        <w:t>乐企联用</w:t>
      </w:r>
      <w:r>
        <w:rPr>
          <w:rFonts w:hint="eastAsia"/>
          <w:sz w:val="24"/>
          <w:szCs w:val="24"/>
          <w:lang w:val="en-US" w:eastAsia="zh-CN"/>
        </w:rPr>
        <w:t>的单位）；等待税务局审批通过</w:t>
      </w:r>
      <w:r>
        <w:rPr>
          <w:rFonts w:hint="eastAsia"/>
          <w:b/>
          <w:bCs/>
          <w:sz w:val="24"/>
          <w:szCs w:val="24"/>
          <w:lang w:val="en-US" w:eastAsia="zh-CN"/>
        </w:rPr>
        <w:t>乐企白名单</w:t>
      </w:r>
      <w:r>
        <w:rPr>
          <w:rFonts w:hint="eastAsia"/>
          <w:sz w:val="24"/>
          <w:szCs w:val="24"/>
          <w:lang w:val="en-US" w:eastAsia="zh-CN"/>
        </w:rPr>
        <w:t>。（附 情况说明表）。</w:t>
      </w:r>
      <w:r>
        <w:drawing>
          <wp:inline distT="0" distB="0" distL="114300" distR="114300">
            <wp:extent cx="6178550" cy="380555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rcRect t="14422"/>
                    <a:stretch>
                      <a:fillRect/>
                    </a:stretch>
                  </pic:blipFill>
                  <pic:spPr>
                    <a:xfrm>
                      <a:off x="0" y="0"/>
                      <a:ext cx="6178550" cy="3805555"/>
                    </a:xfrm>
                    <a:prstGeom prst="rect">
                      <a:avLst/>
                    </a:prstGeom>
                    <a:noFill/>
                    <a:ln>
                      <a:noFill/>
                    </a:ln>
                  </pic:spPr>
                </pic:pic>
              </a:graphicData>
            </a:graphic>
          </wp:inline>
        </w:drawing>
      </w:r>
      <w:r>
        <w:rPr>
          <w:rFonts w:hint="eastAsia"/>
          <w:sz w:val="24"/>
          <w:szCs w:val="24"/>
          <w:lang w:val="en-US" w:eastAsia="zh-CN"/>
        </w:rPr>
        <w:t>【企业通过乐企白名单能进去乐企平台后，在接入管理里面的接入申请（</w:t>
      </w:r>
      <w:r>
        <w:rPr>
          <w:rFonts w:hint="eastAsia"/>
          <w:b/>
          <w:bCs/>
          <w:color w:val="FF0000"/>
          <w:sz w:val="24"/>
          <w:szCs w:val="24"/>
          <w:lang w:val="en-US" w:eastAsia="zh-CN"/>
        </w:rPr>
        <w:t>不要进行申请操作</w:t>
      </w:r>
      <w:r>
        <w:rPr>
          <w:rFonts w:hint="eastAsia"/>
          <w:sz w:val="24"/>
          <w:szCs w:val="24"/>
          <w:lang w:val="en-US" w:eastAsia="zh-CN"/>
        </w:rPr>
        <w:t>）】</w:t>
      </w:r>
      <w:r>
        <w:drawing>
          <wp:inline distT="0" distB="0" distL="114300" distR="114300">
            <wp:extent cx="6134100" cy="2037080"/>
            <wp:effectExtent l="0" t="0" r="0" b="127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5"/>
                    <a:stretch>
                      <a:fillRect/>
                    </a:stretch>
                  </pic:blipFill>
                  <pic:spPr>
                    <a:xfrm>
                      <a:off x="0" y="0"/>
                      <a:ext cx="6134100" cy="2037080"/>
                    </a:xfrm>
                    <a:prstGeom prst="rect">
                      <a:avLst/>
                    </a:prstGeom>
                    <a:noFill/>
                    <a:ln>
                      <a:noFill/>
                    </a:ln>
                  </pic:spPr>
                </pic:pic>
              </a:graphicData>
            </a:graphic>
          </wp:inline>
        </w:drawing>
      </w:r>
    </w:p>
    <w:p>
      <w:pPr>
        <w:numPr>
          <w:ilvl w:val="0"/>
          <w:numId w:val="0"/>
        </w:numPr>
        <w:ind w:firstLine="420" w:firstLineChars="200"/>
        <w:rPr>
          <w:rFonts w:hint="eastAsia"/>
          <w:lang w:val="en-US" w:eastAsia="zh-CN"/>
        </w:rPr>
      </w:pPr>
    </w:p>
    <w:p>
      <w:pPr>
        <w:outlineLvl w:val="1"/>
        <w:rPr>
          <w:rFonts w:hint="eastAsia"/>
          <w:b/>
          <w:bCs/>
          <w:sz w:val="30"/>
          <w:szCs w:val="30"/>
          <w:lang w:val="en-US" w:eastAsia="zh-CN"/>
        </w:rPr>
      </w:pPr>
      <w:bookmarkStart w:id="4" w:name="_Toc20396"/>
      <w:r>
        <w:rPr>
          <w:rFonts w:hint="eastAsia"/>
          <w:b/>
          <w:bCs/>
          <w:sz w:val="30"/>
          <w:szCs w:val="30"/>
          <w:lang w:val="en-US" w:eastAsia="zh-CN"/>
        </w:rPr>
        <w:t>2、接入邀请确认：</w:t>
      </w:r>
      <w:bookmarkEnd w:id="4"/>
    </w:p>
    <w:p>
      <w:pPr>
        <w:ind w:firstLine="480" w:firstLineChars="200"/>
        <w:rPr>
          <w:rFonts w:hint="eastAsia"/>
          <w:sz w:val="24"/>
          <w:szCs w:val="24"/>
          <w:lang w:val="en-US" w:eastAsia="zh-CN"/>
        </w:rPr>
      </w:pPr>
      <w:r>
        <w:rPr>
          <w:rFonts w:hint="eastAsia"/>
          <w:sz w:val="24"/>
          <w:szCs w:val="24"/>
          <w:lang w:val="en-US" w:eastAsia="zh-CN"/>
        </w:rPr>
        <w:t>通过乐企白名单后通知领航，领航进入乐企发出接入邀请物业企业成为乐企联用的使用单位，物业企业接收到乐企接入邀请后，可登录乐企在【接入管理】→【响应邀请】中确认邀请信息。物业企业业务经办可选择确认邀请或拒绝邀请，物业企业业务经办需要在规定时间内进行邀请确认，否则该邀请记录状态会变更为已过期。在响应邀请时，补充信息（如下图）单位关系说明,请填写：无股权控制关系；关系材料证明 可以上传有效期内的领航物业云合同扫描件。</w:t>
      </w:r>
    </w:p>
    <w:p>
      <w:pPr>
        <w:rPr>
          <w:rFonts w:hint="default"/>
          <w:sz w:val="24"/>
          <w:szCs w:val="24"/>
          <w:lang w:val="en-US" w:eastAsia="zh-CN"/>
        </w:rPr>
      </w:pPr>
      <w:r>
        <w:drawing>
          <wp:inline distT="0" distB="0" distL="114300" distR="114300">
            <wp:extent cx="4911725" cy="2715895"/>
            <wp:effectExtent l="0" t="0" r="3175" b="825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
                    <a:stretch>
                      <a:fillRect/>
                    </a:stretch>
                  </pic:blipFill>
                  <pic:spPr>
                    <a:xfrm>
                      <a:off x="0" y="0"/>
                      <a:ext cx="4911725" cy="2715895"/>
                    </a:xfrm>
                    <a:prstGeom prst="rect">
                      <a:avLst/>
                    </a:prstGeom>
                    <a:noFill/>
                    <a:ln>
                      <a:noFill/>
                    </a:ln>
                  </pic:spPr>
                </pic:pic>
              </a:graphicData>
            </a:graphic>
          </wp:inline>
        </w:drawing>
      </w:r>
    </w:p>
    <w:p>
      <w:pPr>
        <w:rPr>
          <w:rFonts w:hint="default"/>
          <w:sz w:val="24"/>
          <w:szCs w:val="24"/>
          <w:lang w:val="en-US" w:eastAsia="zh-CN"/>
        </w:rPr>
      </w:pPr>
      <w:r>
        <w:rPr>
          <w:rFonts w:hint="default"/>
          <w:sz w:val="21"/>
          <w:szCs w:val="24"/>
        </w:rPr>
        <w:drawing>
          <wp:inline distT="0" distB="0" distL="114300" distR="114300">
            <wp:extent cx="5300980" cy="2840355"/>
            <wp:effectExtent l="0" t="0" r="2540" b="9525"/>
            <wp:docPr id="2" name="图片 1" descr="c8c136b2509fac51a6dd6c8bfd4a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8c136b2509fac51a6dd6c8bfd4a9bc"/>
                    <pic:cNvPicPr>
                      <a:picLocks noChangeAspect="1"/>
                    </pic:cNvPicPr>
                  </pic:nvPicPr>
                  <pic:blipFill>
                    <a:blip r:embed="rId7"/>
                    <a:stretch>
                      <a:fillRect/>
                    </a:stretch>
                  </pic:blipFill>
                  <pic:spPr>
                    <a:xfrm>
                      <a:off x="0" y="0"/>
                      <a:ext cx="5300980" cy="2840355"/>
                    </a:xfrm>
                    <a:prstGeom prst="rect">
                      <a:avLst/>
                    </a:prstGeom>
                    <a:noFill/>
                    <a:ln>
                      <a:noFill/>
                    </a:ln>
                  </pic:spPr>
                </pic:pic>
              </a:graphicData>
            </a:graphic>
          </wp:inline>
        </w:drawing>
      </w:r>
    </w:p>
    <w:p>
      <w:pPr>
        <w:outlineLvl w:val="1"/>
        <w:rPr>
          <w:rFonts w:hint="eastAsia"/>
          <w:b/>
          <w:bCs/>
          <w:sz w:val="30"/>
          <w:szCs w:val="30"/>
          <w:lang w:val="en-US" w:eastAsia="zh-CN"/>
        </w:rPr>
      </w:pPr>
      <w:bookmarkStart w:id="5" w:name="_Toc29792"/>
      <w:r>
        <w:rPr>
          <w:rFonts w:hint="eastAsia"/>
          <w:b/>
          <w:bCs/>
          <w:sz w:val="30"/>
          <w:szCs w:val="30"/>
          <w:lang w:val="en-US" w:eastAsia="zh-CN"/>
        </w:rPr>
        <w:t>3、查看接入状态：</w:t>
      </w:r>
      <w:bookmarkEnd w:id="5"/>
    </w:p>
    <w:p>
      <w:pPr>
        <w:widowControl w:val="0"/>
        <w:numPr>
          <w:ilvl w:val="0"/>
          <w:numId w:val="0"/>
        </w:numPr>
        <w:ind w:firstLine="480" w:firstLineChars="200"/>
        <w:jc w:val="both"/>
        <w:rPr>
          <w:rFonts w:hint="default"/>
          <w:sz w:val="24"/>
          <w:szCs w:val="24"/>
          <w:lang w:val="en-US" w:eastAsia="zh-CN"/>
        </w:rPr>
      </w:pPr>
      <w:r>
        <w:rPr>
          <w:rFonts w:hint="eastAsia"/>
          <w:sz w:val="24"/>
          <w:szCs w:val="24"/>
          <w:lang w:val="en-US" w:eastAsia="zh-CN"/>
        </w:rPr>
        <w:t>物业企业确认邀请后（可向税务主管、专管员请求受理审核），可登录乐企查看本企业的接入状态；通过后如下图所示：</w:t>
      </w:r>
    </w:p>
    <w:p>
      <w:pPr>
        <w:widowControl w:val="0"/>
        <w:numPr>
          <w:ilvl w:val="0"/>
          <w:numId w:val="1"/>
        </w:numPr>
        <w:jc w:val="both"/>
        <w:rPr>
          <w:rFonts w:hint="eastAsia"/>
          <w:sz w:val="24"/>
          <w:szCs w:val="24"/>
          <w:lang w:val="en-US" w:eastAsia="zh-CN"/>
        </w:rPr>
      </w:pPr>
      <w:r>
        <w:rPr>
          <w:rFonts w:hint="eastAsia"/>
          <w:sz w:val="24"/>
          <w:szCs w:val="24"/>
          <w:lang w:val="en-US" w:eastAsia="zh-CN"/>
        </w:rPr>
        <w:t>待受理，使用单位确认邀请后，界面显示待受理【需要税务机关受理】。</w:t>
      </w:r>
    </w:p>
    <w:p>
      <w:pPr>
        <w:widowControl w:val="0"/>
        <w:numPr>
          <w:ilvl w:val="0"/>
          <w:numId w:val="1"/>
        </w:numPr>
        <w:jc w:val="both"/>
        <w:rPr>
          <w:rFonts w:hint="eastAsia"/>
          <w:sz w:val="24"/>
          <w:szCs w:val="24"/>
          <w:lang w:val="en-US" w:eastAsia="zh-CN"/>
        </w:rPr>
      </w:pPr>
      <w:r>
        <w:rPr>
          <w:rFonts w:hint="eastAsia"/>
          <w:sz w:val="24"/>
          <w:szCs w:val="24"/>
          <w:lang w:val="en-US" w:eastAsia="zh-CN"/>
        </w:rPr>
        <w:t>不予受理，区县级税务机关不予受理时，界面显示不予受理。</w:t>
      </w:r>
    </w:p>
    <w:p>
      <w:pPr>
        <w:widowControl w:val="0"/>
        <w:numPr>
          <w:ilvl w:val="0"/>
          <w:numId w:val="1"/>
        </w:numPr>
        <w:jc w:val="both"/>
        <w:rPr>
          <w:rFonts w:hint="eastAsia"/>
          <w:sz w:val="24"/>
          <w:szCs w:val="24"/>
          <w:lang w:val="en-US" w:eastAsia="zh-CN"/>
        </w:rPr>
      </w:pPr>
      <w:r>
        <w:rPr>
          <w:rFonts w:hint="eastAsia"/>
          <w:sz w:val="24"/>
          <w:szCs w:val="24"/>
          <w:lang w:val="en-US" w:eastAsia="zh-CN"/>
        </w:rPr>
        <w:t>待审核，区县级税务机关受理通过后，界面显示待审核。</w:t>
      </w:r>
    </w:p>
    <w:p>
      <w:pPr>
        <w:widowControl w:val="0"/>
        <w:numPr>
          <w:ilvl w:val="0"/>
          <w:numId w:val="1"/>
        </w:numPr>
        <w:jc w:val="both"/>
        <w:rPr>
          <w:rFonts w:hint="eastAsia"/>
          <w:sz w:val="24"/>
          <w:szCs w:val="24"/>
          <w:lang w:val="en-US" w:eastAsia="zh-CN"/>
        </w:rPr>
      </w:pPr>
      <w:r>
        <w:rPr>
          <w:rFonts w:hint="eastAsia"/>
          <w:sz w:val="24"/>
          <w:szCs w:val="24"/>
          <w:lang w:val="en-US" w:eastAsia="zh-CN"/>
        </w:rPr>
        <w:t>审核通过，区县级税务机关审核通过时，界面显示审核通过。</w:t>
      </w:r>
    </w:p>
    <w:p>
      <w:pPr>
        <w:widowControl w:val="0"/>
        <w:numPr>
          <w:ilvl w:val="0"/>
          <w:numId w:val="1"/>
        </w:numPr>
        <w:jc w:val="both"/>
        <w:rPr>
          <w:rFonts w:hint="eastAsia"/>
          <w:sz w:val="24"/>
          <w:szCs w:val="24"/>
          <w:lang w:val="en-US" w:eastAsia="zh-CN"/>
        </w:rPr>
      </w:pPr>
      <w:r>
        <w:rPr>
          <w:rFonts w:hint="eastAsia"/>
          <w:sz w:val="24"/>
          <w:szCs w:val="24"/>
          <w:lang w:val="en-US" w:eastAsia="zh-CN"/>
        </w:rPr>
        <w:t>审核不通过，区县级税务机关审核不通过时，界面显示审核不通过，及相关原因。</w:t>
      </w:r>
    </w:p>
    <w:p>
      <w:pPr>
        <w:widowControl w:val="0"/>
        <w:numPr>
          <w:ilvl w:val="0"/>
          <w:numId w:val="1"/>
        </w:numPr>
        <w:jc w:val="both"/>
        <w:rPr>
          <w:rFonts w:hint="eastAsia"/>
          <w:sz w:val="24"/>
          <w:szCs w:val="24"/>
          <w:lang w:val="en-US" w:eastAsia="zh-CN"/>
        </w:rPr>
      </w:pPr>
      <w:r>
        <w:rPr>
          <w:rFonts w:hint="eastAsia"/>
          <w:sz w:val="24"/>
          <w:szCs w:val="24"/>
          <w:lang w:val="en-US" w:eastAsia="zh-CN"/>
        </w:rPr>
        <w:t>已过期，如果使用单位未在规定的时间内确认接入邀请信息，状态为已过期。</w:t>
      </w:r>
    </w:p>
    <w:p>
      <w:pPr>
        <w:widowControl w:val="0"/>
        <w:numPr>
          <w:ilvl w:val="0"/>
          <w:numId w:val="0"/>
        </w:numPr>
        <w:jc w:val="both"/>
      </w:pPr>
      <w:r>
        <w:drawing>
          <wp:inline distT="0" distB="0" distL="114300" distR="114300">
            <wp:extent cx="6186805" cy="2048510"/>
            <wp:effectExtent l="0" t="0" r="635"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8"/>
                    <a:stretch>
                      <a:fillRect/>
                    </a:stretch>
                  </pic:blipFill>
                  <pic:spPr>
                    <a:xfrm>
                      <a:off x="0" y="0"/>
                      <a:ext cx="6186805" cy="2048510"/>
                    </a:xfrm>
                    <a:prstGeom prst="rect">
                      <a:avLst/>
                    </a:prstGeom>
                    <a:noFill/>
                    <a:ln>
                      <a:noFill/>
                    </a:ln>
                  </pic:spPr>
                </pic:pic>
              </a:graphicData>
            </a:graphic>
          </wp:inline>
        </w:drawing>
      </w:r>
      <w:bookmarkStart w:id="33" w:name="_GoBack"/>
      <w:r>
        <w:drawing>
          <wp:inline distT="0" distB="0" distL="114300" distR="114300">
            <wp:extent cx="6179185" cy="3308350"/>
            <wp:effectExtent l="0" t="0" r="8255" b="139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tretch>
                      <a:fillRect/>
                    </a:stretch>
                  </pic:blipFill>
                  <pic:spPr>
                    <a:xfrm>
                      <a:off x="0" y="0"/>
                      <a:ext cx="6179185" cy="3308350"/>
                    </a:xfrm>
                    <a:prstGeom prst="rect">
                      <a:avLst/>
                    </a:prstGeom>
                    <a:noFill/>
                    <a:ln>
                      <a:noFill/>
                    </a:ln>
                  </pic:spPr>
                </pic:pic>
              </a:graphicData>
            </a:graphic>
          </wp:inline>
        </w:drawing>
      </w:r>
      <w:bookmarkEnd w:id="33"/>
    </w:p>
    <w:p>
      <w:pPr>
        <w:widowControl w:val="0"/>
        <w:numPr>
          <w:ilvl w:val="0"/>
          <w:numId w:val="0"/>
        </w:numPr>
        <w:jc w:val="both"/>
        <w:rPr>
          <w:rFonts w:hint="eastAsia"/>
          <w:lang w:val="en-US" w:eastAsia="zh-CN"/>
        </w:rPr>
      </w:pPr>
    </w:p>
    <w:p>
      <w:pPr>
        <w:outlineLvl w:val="1"/>
        <w:rPr>
          <w:rFonts w:hint="eastAsia"/>
          <w:b/>
          <w:bCs/>
          <w:sz w:val="30"/>
          <w:szCs w:val="30"/>
          <w:lang w:val="en-US" w:eastAsia="zh-CN"/>
        </w:rPr>
      </w:pPr>
      <w:bookmarkStart w:id="6" w:name="_Toc15421"/>
      <w:r>
        <w:rPr>
          <w:rFonts w:hint="eastAsia"/>
          <w:b/>
          <w:bCs/>
          <w:sz w:val="30"/>
          <w:szCs w:val="30"/>
          <w:lang w:val="en-US" w:eastAsia="zh-CN"/>
        </w:rPr>
        <w:t>4、授权开票能力：</w:t>
      </w:r>
      <w:bookmarkEnd w:id="6"/>
    </w:p>
    <w:p>
      <w:pPr>
        <w:widowControl w:val="0"/>
        <w:numPr>
          <w:ilvl w:val="0"/>
          <w:numId w:val="0"/>
        </w:numPr>
        <w:ind w:firstLine="480" w:firstLineChars="200"/>
        <w:jc w:val="both"/>
        <w:rPr>
          <w:rFonts w:hint="default"/>
          <w:sz w:val="24"/>
          <w:szCs w:val="24"/>
          <w:lang w:val="en-US" w:eastAsia="zh-CN"/>
        </w:rPr>
      </w:pPr>
      <w:r>
        <w:rPr>
          <w:rFonts w:hint="eastAsia"/>
          <w:sz w:val="24"/>
          <w:szCs w:val="24"/>
          <w:lang w:val="en-US" w:eastAsia="zh-CN"/>
        </w:rPr>
        <w:t>物业企业响应接入并得到税局审核通过后，有2中操作方式（二选一）；</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1、物业直接进入乐企平台（如下2图所示）</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→能力中心</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→我的授权</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→找到直连单位点击后面的操作【详情】</w:t>
      </w:r>
    </w:p>
    <w:p>
      <w:pPr>
        <w:widowControl w:val="0"/>
        <w:numPr>
          <w:ilvl w:val="0"/>
          <w:numId w:val="0"/>
        </w:numPr>
        <w:ind w:firstLine="480" w:firstLineChars="200"/>
        <w:jc w:val="both"/>
        <w:rPr>
          <w:rFonts w:hint="default"/>
          <w:sz w:val="24"/>
          <w:szCs w:val="24"/>
          <w:lang w:val="en-US" w:eastAsia="zh-CN"/>
        </w:rPr>
      </w:pPr>
      <w:r>
        <w:rPr>
          <w:rFonts w:hint="eastAsia"/>
          <w:sz w:val="24"/>
          <w:szCs w:val="24"/>
          <w:lang w:val="en-US" w:eastAsia="zh-CN"/>
        </w:rPr>
        <w:t>→显示详情的对应能力名称后面的操作【申请】并【确认】即可</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→申请后通知领航处理即可</w:t>
      </w:r>
    </w:p>
    <w:p>
      <w:pPr>
        <w:widowControl w:val="0"/>
        <w:numPr>
          <w:ilvl w:val="0"/>
          <w:numId w:val="0"/>
        </w:numPr>
        <w:jc w:val="both"/>
      </w:pPr>
      <w:r>
        <w:drawing>
          <wp:inline distT="0" distB="0" distL="114300" distR="114300">
            <wp:extent cx="6183630" cy="1962150"/>
            <wp:effectExtent l="0" t="0" r="7620"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0"/>
                    <a:srcRect t="15418" b="18045"/>
                    <a:stretch>
                      <a:fillRect/>
                    </a:stretch>
                  </pic:blipFill>
                  <pic:spPr>
                    <a:xfrm>
                      <a:off x="0" y="0"/>
                      <a:ext cx="6183630" cy="1962150"/>
                    </a:xfrm>
                    <a:prstGeom prst="rect">
                      <a:avLst/>
                    </a:prstGeom>
                    <a:noFill/>
                    <a:ln>
                      <a:noFill/>
                    </a:ln>
                  </pic:spPr>
                </pic:pic>
              </a:graphicData>
            </a:graphic>
          </wp:inline>
        </w:drawing>
      </w:r>
      <w:r>
        <w:drawing>
          <wp:inline distT="0" distB="0" distL="114300" distR="114300">
            <wp:extent cx="6128385" cy="1774825"/>
            <wp:effectExtent l="0" t="0" r="0" b="0"/>
            <wp:docPr id="46" name="图片 46" descr="103e19fb54575889aa461cd84393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03e19fb54575889aa461cd84393fdf"/>
                    <pic:cNvPicPr>
                      <a:picLocks noChangeAspect="1"/>
                    </pic:cNvPicPr>
                  </pic:nvPicPr>
                  <pic:blipFill>
                    <a:blip r:embed="rId11"/>
                    <a:srcRect b="18584"/>
                    <a:stretch>
                      <a:fillRect/>
                    </a:stretch>
                  </pic:blipFill>
                  <pic:spPr>
                    <a:xfrm>
                      <a:off x="0" y="0"/>
                      <a:ext cx="6128385" cy="1774825"/>
                    </a:xfrm>
                    <a:prstGeom prst="rect">
                      <a:avLst/>
                    </a:prstGeom>
                  </pic:spPr>
                </pic:pic>
              </a:graphicData>
            </a:graphic>
          </wp:inline>
        </w:drawing>
      </w:r>
    </w:p>
    <w:p>
      <w:pPr>
        <w:widowControl w:val="0"/>
        <w:numPr>
          <w:ilvl w:val="0"/>
          <w:numId w:val="0"/>
        </w:numPr>
        <w:jc w:val="both"/>
        <w:rPr>
          <w:rFonts w:hint="default"/>
          <w:lang w:val="en-US" w:eastAsia="zh-CN"/>
        </w:rPr>
      </w:pPr>
    </w:p>
    <w:p>
      <w:pPr>
        <w:widowControl w:val="0"/>
        <w:numPr>
          <w:ilvl w:val="0"/>
          <w:numId w:val="0"/>
        </w:numPr>
        <w:ind w:firstLine="480" w:firstLineChars="200"/>
        <w:jc w:val="both"/>
        <w:rPr>
          <w:rFonts w:hint="default"/>
          <w:sz w:val="24"/>
          <w:szCs w:val="24"/>
          <w:lang w:val="en-US" w:eastAsia="zh-CN"/>
        </w:rPr>
      </w:pPr>
      <w:r>
        <w:rPr>
          <w:rFonts w:hint="eastAsia"/>
          <w:sz w:val="24"/>
          <w:szCs w:val="24"/>
          <w:lang w:val="en-US" w:eastAsia="zh-CN"/>
        </w:rPr>
        <w:t>2、物业先通知领航授权能力（如下3图所示）</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→领航授权开票能力后，通知物业企业</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→物业企业进入乐企平台</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→能力中心</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→我的授权</w:t>
      </w:r>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→找到直连单位点击后面的操作【详情】</w:t>
      </w:r>
    </w:p>
    <w:p>
      <w:pPr>
        <w:widowControl w:val="0"/>
        <w:numPr>
          <w:ilvl w:val="0"/>
          <w:numId w:val="0"/>
        </w:numPr>
        <w:ind w:firstLine="480" w:firstLineChars="200"/>
        <w:jc w:val="left"/>
        <w:rPr>
          <w:rFonts w:hint="default"/>
          <w:sz w:val="24"/>
          <w:szCs w:val="24"/>
          <w:lang w:val="en-US" w:eastAsia="zh-CN"/>
        </w:rPr>
      </w:pPr>
      <w:r>
        <w:rPr>
          <w:rFonts w:hint="eastAsia"/>
          <w:sz w:val="24"/>
          <w:szCs w:val="24"/>
          <w:lang w:val="en-US" w:eastAsia="zh-CN"/>
        </w:rPr>
        <w:t>→显示详情的对应能力名称后面的操作【同意】并在弹出的对话框进行【确认】接受开票能力</w:t>
      </w:r>
    </w:p>
    <w:p>
      <w:pPr>
        <w:widowControl w:val="0"/>
        <w:numPr>
          <w:ilvl w:val="0"/>
          <w:numId w:val="0"/>
        </w:numPr>
        <w:jc w:val="both"/>
        <w:rPr>
          <w:rFonts w:hint="eastAsia"/>
          <w:sz w:val="24"/>
          <w:szCs w:val="24"/>
          <w:lang w:val="en-US" w:eastAsia="zh-CN"/>
        </w:rPr>
      </w:pPr>
      <w:r>
        <w:drawing>
          <wp:inline distT="0" distB="0" distL="114300" distR="114300">
            <wp:extent cx="6183630" cy="196723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rcRect t="15245" b="18045"/>
                    <a:stretch>
                      <a:fillRect/>
                    </a:stretch>
                  </pic:blipFill>
                  <pic:spPr>
                    <a:xfrm>
                      <a:off x="0" y="0"/>
                      <a:ext cx="6183630" cy="1967230"/>
                    </a:xfrm>
                    <a:prstGeom prst="rect">
                      <a:avLst/>
                    </a:prstGeom>
                    <a:noFill/>
                    <a:ln>
                      <a:noFill/>
                    </a:ln>
                  </pic:spPr>
                </pic:pic>
              </a:graphicData>
            </a:graphic>
          </wp:inline>
        </w:drawing>
      </w:r>
      <w:r>
        <w:drawing>
          <wp:inline distT="0" distB="0" distL="114300" distR="114300">
            <wp:extent cx="6126480" cy="2873375"/>
            <wp:effectExtent l="0" t="0" r="7620"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6126480" cy="2873375"/>
                    </a:xfrm>
                    <a:prstGeom prst="rect">
                      <a:avLst/>
                    </a:prstGeom>
                    <a:noFill/>
                    <a:ln>
                      <a:noFill/>
                    </a:ln>
                  </pic:spPr>
                </pic:pic>
              </a:graphicData>
            </a:graphic>
          </wp:inline>
        </w:drawing>
      </w:r>
      <w:r>
        <w:drawing>
          <wp:inline distT="0" distB="0" distL="114300" distR="114300">
            <wp:extent cx="6179820" cy="256286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rcRect t="15174"/>
                    <a:stretch>
                      <a:fillRect/>
                    </a:stretch>
                  </pic:blipFill>
                  <pic:spPr>
                    <a:xfrm>
                      <a:off x="0" y="0"/>
                      <a:ext cx="6179820" cy="2562860"/>
                    </a:xfrm>
                    <a:prstGeom prst="rect">
                      <a:avLst/>
                    </a:prstGeom>
                    <a:noFill/>
                    <a:ln>
                      <a:noFill/>
                    </a:ln>
                  </pic:spPr>
                </pic:pic>
              </a:graphicData>
            </a:graphic>
          </wp:inline>
        </w:drawing>
      </w:r>
    </w:p>
    <w:p>
      <w:pPr>
        <w:widowControl w:val="0"/>
        <w:numPr>
          <w:ilvl w:val="0"/>
          <w:numId w:val="0"/>
        </w:numPr>
        <w:jc w:val="both"/>
        <w:rPr>
          <w:rFonts w:hint="default"/>
          <w:sz w:val="24"/>
          <w:szCs w:val="24"/>
          <w:lang w:val="en-US" w:eastAsia="zh-CN"/>
        </w:rPr>
      </w:pPr>
    </w:p>
    <w:p>
      <w:pPr>
        <w:outlineLvl w:val="1"/>
        <w:rPr>
          <w:rFonts w:hint="eastAsia"/>
          <w:b/>
          <w:bCs/>
          <w:sz w:val="30"/>
          <w:szCs w:val="30"/>
          <w:lang w:val="en-US" w:eastAsia="zh-CN"/>
        </w:rPr>
      </w:pPr>
      <w:bookmarkStart w:id="7" w:name="_Toc6892"/>
      <w:r>
        <w:rPr>
          <w:rFonts w:hint="eastAsia"/>
          <w:b/>
          <w:bCs/>
          <w:sz w:val="30"/>
          <w:szCs w:val="30"/>
          <w:lang w:val="en-US" w:eastAsia="zh-CN"/>
        </w:rPr>
        <w:t>5、财务邀请开票员：</w:t>
      </w:r>
      <w:bookmarkEnd w:id="7"/>
    </w:p>
    <w:p>
      <w:pPr>
        <w:widowControl w:val="0"/>
        <w:numPr>
          <w:ilvl w:val="0"/>
          <w:numId w:val="0"/>
        </w:numPr>
        <w:ind w:firstLine="480" w:firstLineChars="200"/>
        <w:jc w:val="both"/>
        <w:rPr>
          <w:rFonts w:hint="eastAsia"/>
          <w:sz w:val="24"/>
          <w:szCs w:val="24"/>
          <w:lang w:val="en-US" w:eastAsia="zh-CN"/>
        </w:rPr>
      </w:pPr>
      <w:r>
        <w:rPr>
          <w:rFonts w:hint="eastAsia"/>
          <w:sz w:val="24"/>
          <w:szCs w:val="24"/>
          <w:lang w:val="en-US" w:eastAsia="zh-CN"/>
        </w:rPr>
        <w:t>物业企业财务负责人登录乐企进入“开票员登记及管理”模块（如下图）；先点击【校验开票人员备案状态】，再【新增登记邀请】。</w:t>
      </w:r>
    </w:p>
    <w:p>
      <w:pPr>
        <w:widowControl w:val="0"/>
        <w:numPr>
          <w:ilvl w:val="0"/>
          <w:numId w:val="0"/>
        </w:numPr>
        <w:jc w:val="both"/>
        <w:rPr>
          <w:rFonts w:hint="eastAsia"/>
          <w:sz w:val="24"/>
          <w:szCs w:val="24"/>
          <w:lang w:val="en-US" w:eastAsia="zh-CN"/>
        </w:rPr>
      </w:pPr>
      <w:r>
        <w:rPr>
          <w:rFonts w:hint="eastAsia"/>
          <w:sz w:val="24"/>
          <w:szCs w:val="24"/>
          <w:lang w:val="en-US" w:eastAsia="zh-CN"/>
        </w:rPr>
        <w:t>开票人员需要先在电子税局备案登记为“开票员”并以进行实人认证过的。</w:t>
      </w:r>
    </w:p>
    <w:p>
      <w:pPr>
        <w:widowControl w:val="0"/>
        <w:numPr>
          <w:ilvl w:val="0"/>
          <w:numId w:val="0"/>
        </w:numPr>
        <w:jc w:val="both"/>
        <w:rPr>
          <w:rFonts w:hint="default"/>
          <w:sz w:val="24"/>
          <w:szCs w:val="24"/>
          <w:lang w:val="en-US" w:eastAsia="zh-CN"/>
        </w:rPr>
      </w:pPr>
      <w:r>
        <w:rPr>
          <w:rFonts w:hint="eastAsia"/>
          <w:sz w:val="24"/>
          <w:szCs w:val="24"/>
          <w:lang w:val="en-US" w:eastAsia="zh-CN"/>
        </w:rPr>
        <w:t>校验开票人员备案状态后，该按钮前面显示已备案了多少个开票员，进行新增登记邀请，需要选择开票员，选择直连单位（领航），并进行实人认证（操作人员税务app扫码认证）。</w:t>
      </w:r>
    </w:p>
    <w:p>
      <w:pPr>
        <w:widowControl w:val="0"/>
        <w:numPr>
          <w:ilvl w:val="0"/>
          <w:numId w:val="0"/>
        </w:numPr>
        <w:jc w:val="both"/>
        <w:rPr>
          <w:rFonts w:ascii="宋体" w:hAnsi="宋体" w:eastAsia="宋体" w:cs="宋体"/>
          <w:kern w:val="0"/>
          <w:sz w:val="24"/>
          <w:szCs w:val="24"/>
          <w:lang w:val="en-US" w:eastAsia="zh-CN" w:bidi="ar"/>
        </w:rPr>
      </w:pPr>
      <w:r>
        <w:drawing>
          <wp:inline distT="0" distB="0" distL="114300" distR="114300">
            <wp:extent cx="5273675" cy="2962275"/>
            <wp:effectExtent l="0" t="0" r="1460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3675" cy="2962275"/>
                    </a:xfrm>
                    <a:prstGeom prst="rect">
                      <a:avLst/>
                    </a:prstGeom>
                    <a:noFill/>
                    <a:ln>
                      <a:noFill/>
                    </a:ln>
                  </pic:spPr>
                </pic:pic>
              </a:graphicData>
            </a:graphic>
          </wp:inline>
        </w:drawing>
      </w:r>
      <w:r>
        <w:drawing>
          <wp:inline distT="0" distB="0" distL="114300" distR="114300">
            <wp:extent cx="5350510" cy="304419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5350510" cy="304419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340350" cy="2131695"/>
            <wp:effectExtent l="0" t="0" r="12700" b="1905"/>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6"/>
                    <a:stretch>
                      <a:fillRect/>
                    </a:stretch>
                  </pic:blipFill>
                  <pic:spPr>
                    <a:xfrm>
                      <a:off x="0" y="0"/>
                      <a:ext cx="5340350" cy="2131695"/>
                    </a:xfrm>
                    <a:prstGeom prst="rect">
                      <a:avLst/>
                    </a:prstGeom>
                    <a:noFill/>
                    <a:ln w="9525">
                      <a:noFill/>
                    </a:ln>
                  </pic:spPr>
                </pic:pic>
              </a:graphicData>
            </a:graphic>
          </wp:inline>
        </w:drawing>
      </w:r>
    </w:p>
    <w:p>
      <w:pPr>
        <w:widowControl w:val="0"/>
        <w:numPr>
          <w:ilvl w:val="0"/>
          <w:numId w:val="0"/>
        </w:numPr>
        <w:jc w:val="both"/>
        <w:rPr>
          <w:rFonts w:ascii="宋体" w:hAnsi="宋体" w:eastAsia="宋体" w:cs="宋体"/>
          <w:kern w:val="0"/>
          <w:sz w:val="24"/>
          <w:szCs w:val="24"/>
          <w:lang w:val="en-US" w:eastAsia="zh-CN" w:bidi="ar"/>
        </w:rPr>
      </w:pPr>
    </w:p>
    <w:p>
      <w:pPr>
        <w:widowControl w:val="0"/>
        <w:numPr>
          <w:ilvl w:val="0"/>
          <w:numId w:val="0"/>
        </w:numPr>
        <w:jc w:val="both"/>
        <w:rPr>
          <w:rFonts w:hint="default" w:ascii="宋体" w:hAnsi="宋体" w:eastAsia="宋体" w:cs="宋体"/>
          <w:kern w:val="0"/>
          <w:sz w:val="24"/>
          <w:szCs w:val="24"/>
          <w:lang w:val="en-US" w:eastAsia="zh-CN" w:bidi="ar"/>
        </w:rPr>
      </w:pPr>
    </w:p>
    <w:p>
      <w:pPr>
        <w:outlineLvl w:val="1"/>
        <w:rPr>
          <w:rFonts w:hint="eastAsia"/>
          <w:b/>
          <w:bCs/>
          <w:sz w:val="30"/>
          <w:szCs w:val="30"/>
          <w:lang w:val="en-US" w:eastAsia="zh-CN"/>
        </w:rPr>
      </w:pPr>
      <w:bookmarkStart w:id="8" w:name="_Toc4985"/>
      <w:r>
        <w:rPr>
          <w:rFonts w:hint="eastAsia"/>
          <w:b/>
          <w:bCs/>
          <w:sz w:val="30"/>
          <w:szCs w:val="30"/>
          <w:lang w:val="en-US" w:eastAsia="zh-CN"/>
        </w:rPr>
        <w:t>6、开票员确认邀请：</w:t>
      </w:r>
      <w:bookmarkEnd w:id="8"/>
    </w:p>
    <w:p>
      <w:pPr>
        <w:widowControl w:val="0"/>
        <w:numPr>
          <w:ilvl w:val="0"/>
          <w:numId w:val="0"/>
        </w:numPr>
        <w:jc w:val="both"/>
        <w:rPr>
          <w:rFonts w:hint="default"/>
          <w:sz w:val="24"/>
          <w:szCs w:val="24"/>
          <w:lang w:val="en-US" w:eastAsia="zh-CN"/>
        </w:rPr>
      </w:pPr>
      <w:r>
        <w:rPr>
          <w:rFonts w:hint="eastAsia"/>
          <w:sz w:val="24"/>
          <w:szCs w:val="24"/>
          <w:lang w:val="en-US" w:eastAsia="zh-CN"/>
        </w:rPr>
        <w:t>物业开票员登录电子税局进入乐企，进入“开票员登记及管理”模块，进行确认邀请，并进行实人验证（开票员进行税务app扫码认证）。</w:t>
      </w:r>
    </w:p>
    <w:p>
      <w:pPr>
        <w:widowControl w:val="0"/>
        <w:numPr>
          <w:ilvl w:val="0"/>
          <w:numId w:val="0"/>
        </w:numPr>
        <w:jc w:val="both"/>
        <w:rPr>
          <w:rFonts w:hint="default"/>
          <w:sz w:val="24"/>
          <w:szCs w:val="24"/>
          <w:lang w:val="en-US" w:eastAsia="zh-CN"/>
        </w:rPr>
      </w:pPr>
      <w:r>
        <w:rPr>
          <w:rFonts w:ascii="宋体" w:hAnsi="宋体" w:eastAsia="宋体" w:cs="宋体"/>
          <w:sz w:val="24"/>
          <w:szCs w:val="24"/>
        </w:rPr>
        <w:drawing>
          <wp:inline distT="0" distB="0" distL="114300" distR="114300">
            <wp:extent cx="6120130" cy="1552575"/>
            <wp:effectExtent l="0" t="0" r="13970" b="9525"/>
            <wp:docPr id="25" name="图片 25" descr="Y[3RP%P9GKOI4KB6ABHN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Y[3RP%P9GKOI4KB6ABHN6BD"/>
                    <pic:cNvPicPr>
                      <a:picLocks noChangeAspect="1"/>
                    </pic:cNvPicPr>
                  </pic:nvPicPr>
                  <pic:blipFill>
                    <a:blip r:embed="rId17"/>
                    <a:stretch>
                      <a:fillRect/>
                    </a:stretch>
                  </pic:blipFill>
                  <pic:spPr>
                    <a:xfrm>
                      <a:off x="0" y="0"/>
                      <a:ext cx="6120130" cy="1552575"/>
                    </a:xfrm>
                    <a:prstGeom prst="rect">
                      <a:avLst/>
                    </a:prstGeom>
                  </pic:spPr>
                </pic:pic>
              </a:graphicData>
            </a:graphic>
          </wp:inline>
        </w:drawing>
      </w:r>
      <w:r>
        <w:drawing>
          <wp:inline distT="0" distB="0" distL="114300" distR="114300">
            <wp:extent cx="6132830" cy="2102485"/>
            <wp:effectExtent l="0" t="0" r="1270" b="1206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8"/>
                    <a:stretch>
                      <a:fillRect/>
                    </a:stretch>
                  </pic:blipFill>
                  <pic:spPr>
                    <a:xfrm>
                      <a:off x="0" y="0"/>
                      <a:ext cx="6132830" cy="2102485"/>
                    </a:xfrm>
                    <a:prstGeom prst="rect">
                      <a:avLst/>
                    </a:prstGeom>
                    <a:noFill/>
                    <a:ln>
                      <a:noFill/>
                    </a:ln>
                  </pic:spPr>
                </pic:pic>
              </a:graphicData>
            </a:graphic>
          </wp:inline>
        </w:drawing>
      </w:r>
      <w:r>
        <w:drawing>
          <wp:inline distT="0" distB="0" distL="114300" distR="114300">
            <wp:extent cx="5270500" cy="2331085"/>
            <wp:effectExtent l="0" t="0" r="254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270500" cy="2331085"/>
                    </a:xfrm>
                    <a:prstGeom prst="rect">
                      <a:avLst/>
                    </a:prstGeom>
                    <a:noFill/>
                    <a:ln>
                      <a:noFill/>
                    </a:ln>
                  </pic:spPr>
                </pic:pic>
              </a:graphicData>
            </a:graphic>
          </wp:inline>
        </w:drawing>
      </w:r>
    </w:p>
    <w:p>
      <w:pPr>
        <w:rPr>
          <w:rFonts w:hint="eastAsia"/>
          <w:sz w:val="24"/>
          <w:szCs w:val="24"/>
          <w:lang w:val="en-US" w:eastAsia="zh-CN"/>
        </w:rPr>
      </w:pPr>
    </w:p>
    <w:p>
      <w:pPr>
        <w:rPr>
          <w:rFonts w:hint="default"/>
          <w:sz w:val="24"/>
          <w:szCs w:val="24"/>
          <w:lang w:val="en-US" w:eastAsia="zh-CN"/>
        </w:rPr>
      </w:pPr>
    </w:p>
    <w:p>
      <w:pPr>
        <w:rPr>
          <w:rFonts w:hint="eastAsia"/>
          <w:b/>
          <w:bCs/>
          <w:sz w:val="30"/>
          <w:szCs w:val="30"/>
          <w:lang w:val="en-US" w:eastAsia="zh-CN"/>
        </w:rPr>
      </w:pPr>
      <w:r>
        <w:rPr>
          <w:rFonts w:hint="eastAsia"/>
          <w:b/>
          <w:bCs/>
          <w:sz w:val="30"/>
          <w:szCs w:val="30"/>
          <w:lang w:val="en-US" w:eastAsia="zh-CN"/>
        </w:rPr>
        <w:br w:type="page"/>
      </w:r>
    </w:p>
    <w:p>
      <w:pPr>
        <w:jc w:val="left"/>
        <w:outlineLvl w:val="0"/>
        <w:rPr>
          <w:rFonts w:hint="default" w:ascii="微软雅黑" w:hAnsi="微软雅黑" w:eastAsia="微软雅黑" w:cs="微软雅黑"/>
          <w:b w:val="0"/>
          <w:bCs w:val="0"/>
          <w:sz w:val="48"/>
          <w:szCs w:val="48"/>
          <w:lang w:val="en-US" w:eastAsia="zh-CN"/>
        </w:rPr>
      </w:pPr>
      <w:bookmarkStart w:id="9" w:name="_Toc1458"/>
      <w:r>
        <w:rPr>
          <w:rFonts w:hint="eastAsia" w:ascii="微软雅黑" w:hAnsi="微软雅黑" w:eastAsia="微软雅黑" w:cs="微软雅黑"/>
          <w:b w:val="0"/>
          <w:bCs w:val="0"/>
          <w:sz w:val="48"/>
          <w:szCs w:val="48"/>
          <w:lang w:val="en-US" w:eastAsia="zh-CN"/>
        </w:rPr>
        <w:t>二、</w:t>
      </w:r>
      <w:bookmarkStart w:id="10" w:name="乐企初始化配置"/>
      <w:bookmarkEnd w:id="10"/>
      <w:r>
        <w:rPr>
          <w:rFonts w:hint="eastAsia" w:ascii="微软雅黑" w:hAnsi="微软雅黑" w:eastAsia="微软雅黑" w:cs="微软雅黑"/>
          <w:b w:val="0"/>
          <w:bCs w:val="0"/>
          <w:sz w:val="48"/>
          <w:szCs w:val="48"/>
          <w:lang w:val="en-US" w:eastAsia="zh-CN"/>
        </w:rPr>
        <w:t>乐企联用开票初始化配置</w:t>
      </w:r>
      <w:bookmarkEnd w:id="9"/>
    </w:p>
    <w:p>
      <w:pPr>
        <w:outlineLvl w:val="1"/>
        <w:rPr>
          <w:rFonts w:hint="eastAsia"/>
          <w:b/>
          <w:bCs/>
          <w:sz w:val="30"/>
          <w:szCs w:val="30"/>
          <w:lang w:val="en-US" w:eastAsia="zh-CN"/>
        </w:rPr>
      </w:pPr>
      <w:bookmarkStart w:id="11" w:name="_Toc3672"/>
      <w:r>
        <w:rPr>
          <w:rFonts w:hint="eastAsia"/>
          <w:b/>
          <w:bCs/>
          <w:sz w:val="30"/>
          <w:szCs w:val="30"/>
          <w:lang w:val="en-US" w:eastAsia="zh-CN"/>
        </w:rPr>
        <w:t>1、乐企配置：</w:t>
      </w:r>
      <w:bookmarkEnd w:id="11"/>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→乐企开票（需要开通权限）</w:t>
      </w:r>
    </w:p>
    <w:p>
      <w:pPr>
        <w:numPr>
          <w:ilvl w:val="0"/>
          <w:numId w:val="0"/>
        </w:numPr>
        <w:ind w:firstLine="480" w:firstLineChars="200"/>
        <w:rPr>
          <w:rFonts w:hint="eastAsia"/>
          <w:sz w:val="24"/>
          <w:szCs w:val="24"/>
          <w:lang w:val="en-US" w:eastAsia="zh-CN"/>
        </w:rPr>
      </w:pPr>
      <w:r>
        <w:rPr>
          <w:rFonts w:hint="eastAsia"/>
          <w:sz w:val="24"/>
          <w:szCs w:val="24"/>
          <w:lang w:val="en-US" w:eastAsia="zh-CN"/>
        </w:rPr>
        <w:t>→系统配置</w:t>
      </w:r>
    </w:p>
    <w:p>
      <w:pPr>
        <w:numPr>
          <w:ilvl w:val="0"/>
          <w:numId w:val="0"/>
        </w:numPr>
        <w:ind w:firstLine="480" w:firstLineChars="200"/>
        <w:rPr>
          <w:rFonts w:hint="eastAsia"/>
          <w:sz w:val="24"/>
          <w:szCs w:val="24"/>
          <w:lang w:val="en-US" w:eastAsia="zh-CN"/>
        </w:rPr>
      </w:pPr>
      <w:r>
        <w:rPr>
          <w:rFonts w:hint="eastAsia"/>
          <w:sz w:val="24"/>
          <w:szCs w:val="24"/>
          <w:lang w:val="en-US" w:eastAsia="zh-CN"/>
        </w:rPr>
        <w:t>→选择企业添加分公司名称税号（如下图操作步骤）以及其他信息根据需要填写；</w:t>
      </w:r>
    </w:p>
    <w:p>
      <w:pPr>
        <w:numPr>
          <w:ilvl w:val="0"/>
          <w:numId w:val="0"/>
        </w:numPr>
        <w:ind w:firstLine="480" w:firstLineChars="200"/>
        <w:rPr>
          <w:rFonts w:hint="default"/>
          <w:sz w:val="24"/>
          <w:szCs w:val="24"/>
          <w:lang w:val="en-US" w:eastAsia="zh-CN"/>
        </w:rPr>
      </w:pPr>
    </w:p>
    <w:p>
      <w:pPr>
        <w:numPr>
          <w:ilvl w:val="0"/>
          <w:numId w:val="0"/>
        </w:numPr>
      </w:pPr>
      <w:r>
        <w:drawing>
          <wp:inline distT="0" distB="0" distL="114300" distR="114300">
            <wp:extent cx="6132195" cy="2929890"/>
            <wp:effectExtent l="0" t="0" r="1905" b="38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0"/>
                    <a:stretch>
                      <a:fillRect/>
                    </a:stretch>
                  </pic:blipFill>
                  <pic:spPr>
                    <a:xfrm>
                      <a:off x="0" y="0"/>
                      <a:ext cx="6132195" cy="2929890"/>
                    </a:xfrm>
                    <a:prstGeom prst="rect">
                      <a:avLst/>
                    </a:prstGeom>
                    <a:noFill/>
                    <a:ln>
                      <a:noFill/>
                    </a:ln>
                  </pic:spPr>
                </pic:pic>
              </a:graphicData>
            </a:graphic>
          </wp:inline>
        </w:drawing>
      </w:r>
    </w:p>
    <w:p>
      <w:pPr>
        <w:numPr>
          <w:ilvl w:val="0"/>
          <w:numId w:val="0"/>
        </w:numPr>
      </w:pPr>
    </w:p>
    <w:p>
      <w:pPr>
        <w:numPr>
          <w:ilvl w:val="0"/>
          <w:numId w:val="0"/>
        </w:numPr>
        <w:ind w:firstLine="480" w:firstLineChars="200"/>
        <w:rPr>
          <w:rFonts w:hint="eastAsia"/>
          <w:sz w:val="24"/>
          <w:szCs w:val="24"/>
          <w:lang w:val="en-US" w:eastAsia="zh-CN"/>
        </w:rPr>
      </w:pPr>
      <w:r>
        <w:rPr>
          <w:rFonts w:hint="eastAsia"/>
          <w:sz w:val="24"/>
          <w:szCs w:val="24"/>
          <w:lang w:val="en-US" w:eastAsia="zh-CN"/>
        </w:rPr>
        <w:t>→填写使用单位乐企ID（可登录电子税局乐企平台进行查询，如下图）。</w:t>
      </w:r>
    </w:p>
    <w:p>
      <w:pPr>
        <w:numPr>
          <w:ilvl w:val="0"/>
          <w:numId w:val="0"/>
        </w:numPr>
        <w:ind w:firstLine="480" w:firstLineChars="200"/>
        <w:rPr>
          <w:rFonts w:hint="eastAsia"/>
          <w:sz w:val="24"/>
          <w:szCs w:val="24"/>
          <w:lang w:val="en-US" w:eastAsia="zh-CN"/>
        </w:rPr>
      </w:pPr>
    </w:p>
    <w:p>
      <w:pPr>
        <w:numPr>
          <w:ilvl w:val="0"/>
          <w:numId w:val="0"/>
        </w:numPr>
      </w:pPr>
      <w:r>
        <w:drawing>
          <wp:inline distT="0" distB="0" distL="114300" distR="114300">
            <wp:extent cx="6123305" cy="1920875"/>
            <wp:effectExtent l="0" t="0" r="10795" b="31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1"/>
                    <a:stretch>
                      <a:fillRect/>
                    </a:stretch>
                  </pic:blipFill>
                  <pic:spPr>
                    <a:xfrm>
                      <a:off x="0" y="0"/>
                      <a:ext cx="6123305" cy="1920875"/>
                    </a:xfrm>
                    <a:prstGeom prst="rect">
                      <a:avLst/>
                    </a:prstGeom>
                    <a:noFill/>
                    <a:ln>
                      <a:noFill/>
                    </a:ln>
                  </pic:spPr>
                </pic:pic>
              </a:graphicData>
            </a:graphic>
          </wp:inline>
        </w:drawing>
      </w:r>
      <w:r>
        <w:drawing>
          <wp:inline distT="0" distB="0" distL="114300" distR="114300">
            <wp:extent cx="6123305" cy="1900555"/>
            <wp:effectExtent l="0" t="0" r="10795"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2"/>
                    <a:stretch>
                      <a:fillRect/>
                    </a:stretch>
                  </pic:blipFill>
                  <pic:spPr>
                    <a:xfrm>
                      <a:off x="0" y="0"/>
                      <a:ext cx="6123305" cy="1900555"/>
                    </a:xfrm>
                    <a:prstGeom prst="rect">
                      <a:avLst/>
                    </a:prstGeom>
                    <a:noFill/>
                    <a:ln>
                      <a:noFill/>
                    </a:ln>
                  </pic:spPr>
                </pic:pic>
              </a:graphicData>
            </a:graphic>
          </wp:inline>
        </w:drawing>
      </w:r>
      <w:r>
        <w:drawing>
          <wp:inline distT="0" distB="0" distL="114300" distR="114300">
            <wp:extent cx="5122545" cy="2778760"/>
            <wp:effectExtent l="0" t="0" r="1905" b="25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3"/>
                    <a:stretch>
                      <a:fillRect/>
                    </a:stretch>
                  </pic:blipFill>
                  <pic:spPr>
                    <a:xfrm>
                      <a:off x="0" y="0"/>
                      <a:ext cx="5122545" cy="2778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numPr>
          <w:ilvl w:val="0"/>
          <w:numId w:val="0"/>
        </w:numPr>
        <w:rPr>
          <w:rFonts w:hint="eastAsia"/>
          <w:lang w:val="en-US" w:eastAsia="zh-CN"/>
        </w:rPr>
      </w:pPr>
    </w:p>
    <w:p>
      <w:pPr>
        <w:outlineLvl w:val="1"/>
        <w:rPr>
          <w:rFonts w:hint="eastAsia"/>
          <w:b/>
          <w:bCs/>
          <w:sz w:val="30"/>
          <w:szCs w:val="30"/>
          <w:lang w:val="en-US" w:eastAsia="zh-CN"/>
        </w:rPr>
      </w:pPr>
      <w:bookmarkStart w:id="12" w:name="_Toc15781"/>
      <w:r>
        <w:rPr>
          <w:rFonts w:hint="eastAsia"/>
          <w:b/>
          <w:bCs/>
          <w:sz w:val="30"/>
          <w:szCs w:val="30"/>
          <w:lang w:val="en-US" w:eastAsia="zh-CN"/>
        </w:rPr>
        <w:t>2、授权认证：</w:t>
      </w:r>
      <w:bookmarkEnd w:id="12"/>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→乐企开票（需要开通权限）</w:t>
      </w:r>
    </w:p>
    <w:p>
      <w:pPr>
        <w:numPr>
          <w:ilvl w:val="0"/>
          <w:numId w:val="0"/>
        </w:numPr>
        <w:ind w:firstLine="480" w:firstLineChars="200"/>
        <w:rPr>
          <w:rFonts w:hint="eastAsia"/>
          <w:sz w:val="24"/>
          <w:szCs w:val="24"/>
          <w:lang w:val="en-US" w:eastAsia="zh-CN"/>
        </w:rPr>
      </w:pPr>
      <w:r>
        <w:rPr>
          <w:rFonts w:hint="eastAsia"/>
          <w:sz w:val="24"/>
          <w:szCs w:val="24"/>
          <w:lang w:val="en-US" w:eastAsia="zh-CN"/>
        </w:rPr>
        <w:t>→授权认证（如下图所示操作步骤）</w:t>
      </w:r>
    </w:p>
    <w:p>
      <w:pPr>
        <w:numPr>
          <w:ilvl w:val="0"/>
          <w:numId w:val="0"/>
        </w:numPr>
        <w:ind w:firstLine="480" w:firstLineChars="200"/>
        <w:rPr>
          <w:rFonts w:hint="eastAsia"/>
          <w:sz w:val="24"/>
          <w:szCs w:val="24"/>
          <w:lang w:val="en-US" w:eastAsia="zh-CN"/>
        </w:rPr>
      </w:pPr>
      <w:r>
        <w:rPr>
          <w:rFonts w:hint="eastAsia"/>
          <w:sz w:val="24"/>
          <w:szCs w:val="24"/>
          <w:lang w:val="en-US" w:eastAsia="zh-CN"/>
        </w:rPr>
        <w:t>→填写法定代表人（财务负责人）姓名、证件类型、证件号码并保存（可以全部填写或填写其中一个，至少填写一个）；</w:t>
      </w:r>
    </w:p>
    <w:p>
      <w:pPr>
        <w:numPr>
          <w:ilvl w:val="0"/>
          <w:numId w:val="0"/>
        </w:numPr>
        <w:ind w:firstLine="480" w:firstLineChars="200"/>
        <w:rPr>
          <w:rFonts w:hint="eastAsia"/>
          <w:sz w:val="24"/>
          <w:szCs w:val="24"/>
          <w:lang w:val="en-US" w:eastAsia="zh-CN"/>
        </w:rPr>
      </w:pPr>
      <w:r>
        <w:rPr>
          <w:rFonts w:hint="eastAsia"/>
          <w:sz w:val="24"/>
          <w:szCs w:val="24"/>
          <w:lang w:val="en-US" w:eastAsia="zh-CN"/>
        </w:rPr>
        <w:t>→选择 法定代表人或财务负责人（根据填写的信息二选一进行扫码实人认证）</w:t>
      </w:r>
    </w:p>
    <w:p>
      <w:pPr>
        <w:numPr>
          <w:ilvl w:val="0"/>
          <w:numId w:val="0"/>
        </w:numPr>
        <w:ind w:firstLine="480" w:firstLineChars="200"/>
        <w:rPr>
          <w:rFonts w:hint="eastAsia"/>
          <w:sz w:val="24"/>
          <w:szCs w:val="24"/>
          <w:lang w:val="en-US" w:eastAsia="zh-CN"/>
        </w:rPr>
      </w:pPr>
      <w:r>
        <w:rPr>
          <w:rFonts w:hint="eastAsia"/>
          <w:sz w:val="24"/>
          <w:szCs w:val="24"/>
          <w:lang w:val="en-US" w:eastAsia="zh-CN"/>
        </w:rPr>
        <w:t>→点击【获取授权二维码】，出现二维码后；使用单位的法定代表人或财务负责人（已在税务系统报备）使用</w:t>
      </w:r>
      <w:r>
        <w:rPr>
          <w:rFonts w:hint="eastAsia"/>
          <w:b/>
          <w:bCs/>
          <w:color w:val="C00000"/>
          <w:sz w:val="24"/>
          <w:szCs w:val="24"/>
          <w:lang w:val="en-US" w:eastAsia="zh-CN"/>
        </w:rPr>
        <w:t>税务APP</w:t>
      </w:r>
      <w:r>
        <w:rPr>
          <w:rFonts w:hint="eastAsia"/>
          <w:sz w:val="24"/>
          <w:szCs w:val="24"/>
          <w:lang w:val="en-US" w:eastAsia="zh-CN"/>
        </w:rPr>
        <w:t>（各省的新老电局APP 已经支持）扫描二维码完成实人认证并录入授权有效期。（最长可以输入1年，在有效期内不需要进行重复认证，除非法定代表人、财务负责人变更）（二维码10分钟内有效，10分钟内没有认证结束需要重新获取授权码进行认证）</w:t>
      </w:r>
    </w:p>
    <w:p>
      <w:pPr>
        <w:numPr>
          <w:ilvl w:val="0"/>
          <w:numId w:val="0"/>
        </w:numPr>
        <w:ind w:firstLine="480" w:firstLineChars="200"/>
        <w:rPr>
          <w:rFonts w:hint="eastAsia"/>
          <w:sz w:val="24"/>
          <w:szCs w:val="24"/>
          <w:lang w:val="en-US" w:eastAsia="zh-CN"/>
        </w:rPr>
      </w:pPr>
      <w:r>
        <w:rPr>
          <w:rFonts w:hint="eastAsia"/>
          <w:sz w:val="24"/>
          <w:szCs w:val="24"/>
          <w:lang w:val="en-US" w:eastAsia="zh-CN"/>
        </w:rPr>
        <w:t>→在税务APP输入有效期并认证后点击【获取授权结果】</w:t>
      </w:r>
    </w:p>
    <w:p>
      <w:pPr>
        <w:numPr>
          <w:ilvl w:val="0"/>
          <w:numId w:val="0"/>
        </w:numPr>
        <w:rPr>
          <w:rFonts w:hint="eastAsia"/>
          <w:sz w:val="24"/>
          <w:szCs w:val="24"/>
          <w:lang w:val="en-US" w:eastAsia="zh-CN"/>
        </w:rPr>
      </w:pPr>
      <w:r>
        <w:drawing>
          <wp:inline distT="0" distB="0" distL="114300" distR="114300">
            <wp:extent cx="6129655" cy="2445385"/>
            <wp:effectExtent l="0" t="0" r="4445" b="1206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4"/>
                    <a:stretch>
                      <a:fillRect/>
                    </a:stretch>
                  </pic:blipFill>
                  <pic:spPr>
                    <a:xfrm>
                      <a:off x="0" y="0"/>
                      <a:ext cx="6129655" cy="2445385"/>
                    </a:xfrm>
                    <a:prstGeom prst="rect">
                      <a:avLst/>
                    </a:prstGeom>
                    <a:noFill/>
                    <a:ln>
                      <a:noFill/>
                    </a:ln>
                  </pic:spPr>
                </pic:pic>
              </a:graphicData>
            </a:graphic>
          </wp:inline>
        </w:drawing>
      </w:r>
    </w:p>
    <w:p>
      <w:pPr>
        <w:numPr>
          <w:ilvl w:val="0"/>
          <w:numId w:val="0"/>
        </w:numPr>
        <w:rPr>
          <w:rFonts w:hint="eastAsia"/>
          <w:sz w:val="24"/>
          <w:szCs w:val="24"/>
          <w:lang w:val="en-US" w:eastAsia="zh-CN"/>
        </w:rPr>
      </w:pPr>
      <w:r>
        <w:rPr>
          <w:rFonts w:hint="eastAsia"/>
          <w:b/>
          <w:bCs/>
          <w:color w:val="FF0000"/>
          <w:sz w:val="24"/>
          <w:szCs w:val="24"/>
          <w:lang w:val="en-US" w:eastAsia="zh-CN"/>
        </w:rPr>
        <w:t>注意事项</w:t>
      </w:r>
      <w:r>
        <w:rPr>
          <w:rFonts w:hint="eastAsia"/>
          <w:sz w:val="24"/>
          <w:szCs w:val="24"/>
          <w:lang w:val="en-US" w:eastAsia="zh-CN"/>
        </w:rPr>
        <w:t>：如果授权认证扫码是出现下图情况，需要联系本地税务局，对税务app进行升级（由可信给各省提供的一个改造的需求文件包，需要省里面负责税务app的人员需要把这块内容更新到app上）。</w:t>
      </w:r>
    </w:p>
    <w:p>
      <w:pPr>
        <w:numPr>
          <w:ilvl w:val="0"/>
          <w:numId w:val="0"/>
        </w:numPr>
        <w:rPr>
          <w:rFonts w:hint="default"/>
          <w:sz w:val="24"/>
          <w:szCs w:val="24"/>
          <w:lang w:val="en-US" w:eastAsia="zh-CN"/>
        </w:rPr>
      </w:pPr>
      <w:r>
        <w:rPr>
          <w:rFonts w:hint="default"/>
          <w:sz w:val="24"/>
          <w:szCs w:val="24"/>
          <w:lang w:val="en-US" w:eastAsia="zh-CN"/>
        </w:rPr>
        <w:drawing>
          <wp:inline distT="0" distB="0" distL="114300" distR="114300">
            <wp:extent cx="1471295" cy="2445385"/>
            <wp:effectExtent l="0" t="0" r="0" b="0"/>
            <wp:docPr id="6" name="图片 6" descr="2d0d24e04766378e775ac25c24d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d0d24e04766378e775ac25c24d9815"/>
                    <pic:cNvPicPr>
                      <a:picLocks noChangeAspect="1"/>
                    </pic:cNvPicPr>
                  </pic:nvPicPr>
                  <pic:blipFill>
                    <a:blip r:embed="rId25"/>
                    <a:srcRect b="23333"/>
                    <a:stretch>
                      <a:fillRect/>
                    </a:stretch>
                  </pic:blipFill>
                  <pic:spPr>
                    <a:xfrm>
                      <a:off x="0" y="0"/>
                      <a:ext cx="1471295" cy="2445385"/>
                    </a:xfrm>
                    <a:prstGeom prst="rect">
                      <a:avLst/>
                    </a:prstGeom>
                  </pic:spPr>
                </pic:pic>
              </a:graphicData>
            </a:graphic>
          </wp:inline>
        </w:drawing>
      </w:r>
    </w:p>
    <w:p>
      <w:pPr>
        <w:rPr>
          <w:rFonts w:hint="default"/>
          <w:sz w:val="24"/>
          <w:szCs w:val="24"/>
          <w:lang w:val="en-US" w:eastAsia="zh-CN"/>
        </w:rPr>
      </w:pPr>
      <w:r>
        <w:rPr>
          <w:rFonts w:hint="default"/>
          <w:sz w:val="24"/>
          <w:szCs w:val="24"/>
          <w:lang w:val="en-US" w:eastAsia="zh-CN"/>
        </w:rPr>
        <w:br w:type="page"/>
      </w:r>
    </w:p>
    <w:p>
      <w:pPr>
        <w:numPr>
          <w:ilvl w:val="0"/>
          <w:numId w:val="0"/>
        </w:numPr>
        <w:rPr>
          <w:rFonts w:hint="default"/>
          <w:sz w:val="24"/>
          <w:szCs w:val="24"/>
          <w:lang w:val="en-US" w:eastAsia="zh-CN"/>
        </w:rPr>
      </w:pPr>
    </w:p>
    <w:p>
      <w:pPr>
        <w:outlineLvl w:val="1"/>
        <w:rPr>
          <w:rFonts w:hint="eastAsia"/>
          <w:b/>
          <w:bCs/>
          <w:sz w:val="30"/>
          <w:szCs w:val="30"/>
          <w:lang w:val="en-US" w:eastAsia="zh-CN"/>
        </w:rPr>
      </w:pPr>
      <w:bookmarkStart w:id="13" w:name="_Toc24174"/>
      <w:r>
        <w:rPr>
          <w:rFonts w:hint="eastAsia"/>
          <w:b/>
          <w:bCs/>
          <w:sz w:val="30"/>
          <w:szCs w:val="30"/>
          <w:lang w:val="en-US" w:eastAsia="zh-CN"/>
        </w:rPr>
        <w:t>3、申领发票：</w:t>
      </w:r>
      <w:bookmarkEnd w:id="13"/>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→乐企开票（需要开通权限）</w:t>
      </w:r>
    </w:p>
    <w:p>
      <w:pPr>
        <w:numPr>
          <w:ilvl w:val="0"/>
          <w:numId w:val="0"/>
        </w:numPr>
        <w:ind w:firstLine="480" w:firstLineChars="200"/>
        <w:rPr>
          <w:rFonts w:hint="eastAsia"/>
          <w:sz w:val="24"/>
          <w:szCs w:val="24"/>
          <w:lang w:val="en-US" w:eastAsia="zh-CN"/>
        </w:rPr>
      </w:pPr>
      <w:r>
        <w:rPr>
          <w:rFonts w:hint="eastAsia"/>
          <w:sz w:val="24"/>
          <w:szCs w:val="24"/>
          <w:lang w:val="en-US" w:eastAsia="zh-CN"/>
        </w:rPr>
        <w:t>→申领发票（如下图所示操作步骤）</w:t>
      </w:r>
    </w:p>
    <w:p>
      <w:pPr>
        <w:numPr>
          <w:ilvl w:val="0"/>
          <w:numId w:val="0"/>
        </w:numPr>
        <w:ind w:firstLine="480" w:firstLineChars="200"/>
        <w:rPr>
          <w:rFonts w:hint="eastAsia"/>
          <w:sz w:val="24"/>
          <w:szCs w:val="24"/>
          <w:lang w:val="en-US" w:eastAsia="zh-CN"/>
        </w:rPr>
      </w:pPr>
      <w:r>
        <w:rPr>
          <w:rFonts w:hint="eastAsia"/>
          <w:sz w:val="24"/>
          <w:szCs w:val="24"/>
          <w:lang w:val="en-US" w:eastAsia="zh-CN"/>
        </w:rPr>
        <w:t>输入待申领发票的领用数量，一次不能超过5000张，点击【申领发票】按钮即可；有时候因为网络等各种原因可能产生申领失败的事件，可以选中申领失败的记录点击【申领已经失败的发票】重新进行申领。申领篡成功后可以在申领发票页面看到已经提前批量预赋发票号码段信息。</w:t>
      </w:r>
    </w:p>
    <w:p>
      <w:pPr>
        <w:numPr>
          <w:ilvl w:val="0"/>
          <w:numId w:val="0"/>
        </w:numPr>
        <w:ind w:firstLine="480"/>
        <w:rPr>
          <w:rFonts w:hint="eastAsia"/>
          <w:sz w:val="24"/>
          <w:szCs w:val="24"/>
          <w:lang w:val="en-US" w:eastAsia="zh-CN"/>
        </w:rPr>
      </w:pPr>
      <w:r>
        <w:rPr>
          <w:rFonts w:hint="eastAsia"/>
          <w:sz w:val="24"/>
          <w:szCs w:val="24"/>
          <w:lang w:val="en-US" w:eastAsia="zh-CN"/>
        </w:rPr>
        <w:t>可以</w:t>
      </w:r>
      <w:r>
        <w:rPr>
          <w:rFonts w:hint="eastAsia"/>
          <w:color w:val="FF0000"/>
          <w:sz w:val="24"/>
          <w:szCs w:val="24"/>
          <w:lang w:val="en-US" w:eastAsia="zh-CN"/>
        </w:rPr>
        <w:t>提前</w:t>
      </w:r>
      <w:r>
        <w:rPr>
          <w:rFonts w:hint="eastAsia"/>
          <w:sz w:val="24"/>
          <w:szCs w:val="24"/>
          <w:lang w:val="en-US" w:eastAsia="zh-CN"/>
        </w:rPr>
        <w:t>申领发票，也可以等到数字物业云平台服务系统提示</w:t>
      </w:r>
      <w:r>
        <w:rPr>
          <w:rFonts w:hint="eastAsia"/>
          <w:color w:val="FF0000"/>
          <w:sz w:val="24"/>
          <w:szCs w:val="24"/>
          <w:lang w:val="en-US" w:eastAsia="zh-CN"/>
        </w:rPr>
        <w:t>发票不足</w:t>
      </w:r>
      <w:r>
        <w:rPr>
          <w:rFonts w:hint="eastAsia"/>
          <w:sz w:val="24"/>
          <w:szCs w:val="24"/>
          <w:lang w:val="en-US" w:eastAsia="zh-CN"/>
        </w:rPr>
        <w:t>的时候申领。</w:t>
      </w:r>
    </w:p>
    <w:p>
      <w:pPr>
        <w:numPr>
          <w:ilvl w:val="0"/>
          <w:numId w:val="0"/>
        </w:numPr>
        <w:rPr>
          <w:rFonts w:hint="eastAsia"/>
          <w:sz w:val="24"/>
          <w:szCs w:val="24"/>
          <w:lang w:val="en-US" w:eastAsia="zh-CN"/>
        </w:rPr>
      </w:pPr>
      <w:r>
        <w:drawing>
          <wp:inline distT="0" distB="0" distL="114300" distR="114300">
            <wp:extent cx="6126480" cy="2441575"/>
            <wp:effectExtent l="0" t="0" r="7620"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6"/>
                    <a:stretch>
                      <a:fillRect/>
                    </a:stretch>
                  </pic:blipFill>
                  <pic:spPr>
                    <a:xfrm>
                      <a:off x="0" y="0"/>
                      <a:ext cx="6126480" cy="2441575"/>
                    </a:xfrm>
                    <a:prstGeom prst="rect">
                      <a:avLst/>
                    </a:prstGeom>
                    <a:noFill/>
                    <a:ln>
                      <a:noFill/>
                    </a:ln>
                  </pic:spPr>
                </pic:pic>
              </a:graphicData>
            </a:graphic>
          </wp:inline>
        </w:drawing>
      </w:r>
    </w:p>
    <w:p>
      <w:pPr>
        <w:numPr>
          <w:ilvl w:val="0"/>
          <w:numId w:val="0"/>
        </w:numPr>
        <w:ind w:firstLine="480" w:firstLineChars="200"/>
        <w:rPr>
          <w:rFonts w:hint="eastAsia"/>
          <w:sz w:val="24"/>
          <w:szCs w:val="24"/>
          <w:lang w:val="en-US" w:eastAsia="zh-CN"/>
        </w:rPr>
      </w:pPr>
    </w:p>
    <w:p>
      <w:pPr>
        <w:numPr>
          <w:ilvl w:val="0"/>
          <w:numId w:val="0"/>
        </w:numPr>
        <w:rPr>
          <w:rFonts w:hint="default"/>
          <w:sz w:val="24"/>
          <w:szCs w:val="24"/>
          <w:lang w:val="en-US" w:eastAsia="zh-CN"/>
        </w:rPr>
      </w:pPr>
    </w:p>
    <w:p>
      <w:pPr>
        <w:outlineLvl w:val="1"/>
        <w:rPr>
          <w:rFonts w:hint="eastAsia"/>
          <w:b/>
          <w:bCs/>
          <w:sz w:val="30"/>
          <w:szCs w:val="30"/>
          <w:lang w:val="en-US" w:eastAsia="zh-CN"/>
        </w:rPr>
      </w:pPr>
      <w:bookmarkStart w:id="14" w:name="_Toc4275"/>
      <w:r>
        <w:rPr>
          <w:rFonts w:hint="eastAsia"/>
          <w:b/>
          <w:bCs/>
          <w:sz w:val="30"/>
          <w:szCs w:val="30"/>
          <w:lang w:val="en-US" w:eastAsia="zh-CN"/>
        </w:rPr>
        <w:t>4、授信额度：</w:t>
      </w:r>
      <w:bookmarkEnd w:id="14"/>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→乐企开票（需要开通权限）</w:t>
      </w:r>
    </w:p>
    <w:p>
      <w:pPr>
        <w:numPr>
          <w:ilvl w:val="0"/>
          <w:numId w:val="0"/>
        </w:numPr>
        <w:ind w:firstLine="480" w:firstLineChars="200"/>
        <w:rPr>
          <w:rFonts w:hint="eastAsia"/>
          <w:sz w:val="24"/>
          <w:szCs w:val="24"/>
          <w:lang w:val="en-US" w:eastAsia="zh-CN"/>
        </w:rPr>
      </w:pPr>
      <w:r>
        <w:rPr>
          <w:rFonts w:hint="eastAsia"/>
          <w:sz w:val="24"/>
          <w:szCs w:val="24"/>
          <w:lang w:val="en-US" w:eastAsia="zh-CN"/>
        </w:rPr>
        <w:t>→授信额度（如下图所示操作步骤）</w:t>
      </w:r>
    </w:p>
    <w:p>
      <w:pPr>
        <w:numPr>
          <w:ilvl w:val="0"/>
          <w:numId w:val="0"/>
        </w:numPr>
        <w:ind w:firstLine="480" w:firstLineChars="200"/>
        <w:rPr>
          <w:rFonts w:hint="eastAsia"/>
          <w:sz w:val="24"/>
          <w:szCs w:val="24"/>
          <w:lang w:val="en-US" w:eastAsia="zh-CN"/>
        </w:rPr>
      </w:pPr>
      <w:r>
        <w:rPr>
          <w:rFonts w:hint="eastAsia"/>
          <w:sz w:val="24"/>
          <w:szCs w:val="24"/>
          <w:lang w:val="en-US" w:eastAsia="zh-CN"/>
        </w:rPr>
        <w:t>每月首次进入此页面选择物业公司税号会自动进行同步当月的授信额度信息；后续也可以手动【同步授信额度】信息（最少必须间隔1小时才能进行下一次同步）；根据本月可用发票额度的余额进行下载乐企可开票额度，下载申请额度必须小区本月可用发票额度，发票额度必须在有效期内使用，如果发现有效期限结束了，可以进行【调整额度有效期】；如果额度被下载下来后，电子税局的额度不足开票，可以进行退回授信额度，退回的申请额度必须小于已下载未使用额度+已开具未上传额度。</w:t>
      </w:r>
    </w:p>
    <w:p>
      <w:pPr>
        <w:numPr>
          <w:ilvl w:val="0"/>
          <w:numId w:val="0"/>
        </w:numPr>
        <w:ind w:firstLine="480" w:firstLineChars="200"/>
        <w:rPr>
          <w:rFonts w:hint="eastAsia" w:ascii="宋体" w:hAnsi="宋体" w:eastAsia="宋体" w:cs="宋体"/>
          <w:sz w:val="24"/>
          <w:szCs w:val="24"/>
          <w:lang w:eastAsia="zh-CN"/>
        </w:rPr>
      </w:pPr>
      <w:r>
        <w:rPr>
          <w:rFonts w:ascii="宋体" w:hAnsi="宋体" w:eastAsia="宋体" w:cs="宋体"/>
          <w:sz w:val="24"/>
          <w:szCs w:val="24"/>
        </w:rPr>
        <w:t>月初的额度有效期（显示不是月底）</w:t>
      </w:r>
      <w:r>
        <w:rPr>
          <w:rFonts w:hint="eastAsia" w:ascii="宋体" w:hAnsi="宋体" w:eastAsia="宋体" w:cs="宋体"/>
          <w:sz w:val="24"/>
          <w:szCs w:val="24"/>
          <w:lang w:eastAsia="zh-CN"/>
        </w:rPr>
        <w:t>；</w:t>
      </w:r>
      <w:r>
        <w:rPr>
          <w:rFonts w:ascii="宋体" w:hAnsi="宋体" w:eastAsia="宋体" w:cs="宋体"/>
          <w:sz w:val="24"/>
          <w:szCs w:val="24"/>
        </w:rPr>
        <w:t>原因：企业在月初未申报时下载的发票额度的有效期止为当月申报截止日期</w:t>
      </w:r>
      <w:r>
        <w:rPr>
          <w:rFonts w:hint="eastAsia" w:ascii="宋体" w:hAnsi="宋体" w:eastAsia="宋体" w:cs="宋体"/>
          <w:sz w:val="24"/>
          <w:szCs w:val="24"/>
          <w:lang w:eastAsia="zh-CN"/>
        </w:rPr>
        <w:t>。</w:t>
      </w:r>
      <w:r>
        <w:rPr>
          <w:rFonts w:ascii="宋体" w:hAnsi="宋体" w:eastAsia="宋体" w:cs="宋体"/>
          <w:sz w:val="24"/>
          <w:szCs w:val="24"/>
        </w:rPr>
        <w:t>等下次企业申报完了，或（到期时）的时候；点击【同步授信额度】、【调整额度有效期】进行重新获取有效期</w:t>
      </w:r>
      <w:r>
        <w:rPr>
          <w:rFonts w:hint="eastAsia" w:ascii="宋体" w:hAnsi="宋体" w:eastAsia="宋体" w:cs="宋体"/>
          <w:sz w:val="24"/>
          <w:szCs w:val="24"/>
          <w:lang w:eastAsia="zh-CN"/>
        </w:rPr>
        <w:t>。</w:t>
      </w:r>
    </w:p>
    <w:p>
      <w:pPr>
        <w:numPr>
          <w:ilvl w:val="0"/>
          <w:numId w:val="0"/>
        </w:numPr>
        <w:rPr>
          <w:rFonts w:hint="eastAsia" w:ascii="宋体" w:hAnsi="宋体" w:eastAsia="宋体" w:cs="宋体"/>
          <w:sz w:val="24"/>
          <w:szCs w:val="24"/>
          <w:lang w:val="en-US" w:eastAsia="zh-CN"/>
        </w:rPr>
      </w:pPr>
      <w:r>
        <w:drawing>
          <wp:inline distT="0" distB="0" distL="114300" distR="114300">
            <wp:extent cx="6127750" cy="2369820"/>
            <wp:effectExtent l="0" t="0" r="6350" b="1143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7"/>
                    <a:stretch>
                      <a:fillRect/>
                    </a:stretch>
                  </pic:blipFill>
                  <pic:spPr>
                    <a:xfrm>
                      <a:off x="0" y="0"/>
                      <a:ext cx="6127750" cy="2369820"/>
                    </a:xfrm>
                    <a:prstGeom prst="rect">
                      <a:avLst/>
                    </a:prstGeom>
                    <a:noFill/>
                    <a:ln>
                      <a:noFill/>
                    </a:ln>
                  </pic:spPr>
                </pic:pic>
              </a:graphicData>
            </a:graphic>
          </wp:inline>
        </w:drawing>
      </w:r>
    </w:p>
    <w:p>
      <w:pPr>
        <w:outlineLvl w:val="1"/>
        <w:rPr>
          <w:rFonts w:hint="eastAsia"/>
          <w:b/>
          <w:bCs/>
          <w:sz w:val="30"/>
          <w:szCs w:val="30"/>
          <w:lang w:val="en-US" w:eastAsia="zh-CN"/>
        </w:rPr>
      </w:pPr>
      <w:bookmarkStart w:id="15" w:name="_Toc6649"/>
      <w:r>
        <w:rPr>
          <w:rFonts w:hint="eastAsia"/>
          <w:b/>
          <w:bCs/>
          <w:sz w:val="30"/>
          <w:szCs w:val="30"/>
          <w:lang w:val="en-US" w:eastAsia="zh-CN"/>
        </w:rPr>
        <w:t>5、数电票上传：</w:t>
      </w:r>
      <w:bookmarkEnd w:id="15"/>
    </w:p>
    <w:p>
      <w:pPr>
        <w:numPr>
          <w:ilvl w:val="0"/>
          <w:numId w:val="0"/>
        </w:numPr>
        <w:ind w:firstLine="480" w:firstLineChars="200"/>
        <w:rPr>
          <w:rFonts w:hint="eastAsia"/>
          <w:sz w:val="24"/>
          <w:szCs w:val="24"/>
          <w:lang w:val="en-US" w:eastAsia="zh-CN"/>
        </w:rPr>
      </w:pPr>
      <w:r>
        <w:rPr>
          <w:rFonts w:hint="eastAsia"/>
          <w:sz w:val="24"/>
          <w:szCs w:val="24"/>
          <w:lang w:val="en-US" w:eastAsia="zh-CN"/>
        </w:rPr>
        <w:t>一般情况下已开具的数电发票会自动上传（半个小时内自动重新上传一次）。可以在此页面查询到未上传票据，已上传票据，已上传票据是否成功。根据需要通过条件选择未上传票据进行手动【上传】，上传完成后会产生受理流水号，在已上传票据页面根据需要选择“上传结果”不是“上传成功”的有受理流水号的票据进行获取上传结果，正常情况下获取的都是上传成功的结果，如果是处理中的话过会儿重新获取，其他信息联系技术人员处理。</w:t>
      </w:r>
    </w:p>
    <w:p>
      <w:pPr>
        <w:outlineLvl w:val="1"/>
        <w:rPr>
          <w:rFonts w:hint="eastAsia"/>
          <w:b/>
          <w:bCs/>
          <w:sz w:val="30"/>
          <w:szCs w:val="30"/>
          <w:lang w:val="en-US" w:eastAsia="zh-CN"/>
        </w:rPr>
      </w:pPr>
      <w:bookmarkStart w:id="16" w:name="_Toc17434"/>
      <w:r>
        <w:rPr>
          <w:rFonts w:hint="eastAsia"/>
          <w:b/>
          <w:bCs/>
          <w:sz w:val="30"/>
          <w:szCs w:val="30"/>
          <w:lang w:val="en-US" w:eastAsia="zh-CN"/>
        </w:rPr>
        <w:t>6、查询纳税人基本信息：</w:t>
      </w:r>
      <w:bookmarkEnd w:id="16"/>
    </w:p>
    <w:p>
      <w:pPr>
        <w:numPr>
          <w:ilvl w:val="0"/>
          <w:numId w:val="0"/>
        </w:numPr>
        <w:ind w:firstLine="480" w:firstLineChars="200"/>
        <w:rPr>
          <w:rFonts w:hint="eastAsia"/>
          <w:sz w:val="24"/>
          <w:szCs w:val="24"/>
          <w:lang w:val="en-US" w:eastAsia="zh-CN"/>
        </w:rPr>
      </w:pPr>
      <w:r>
        <w:rPr>
          <w:rFonts w:hint="eastAsia"/>
          <w:sz w:val="24"/>
          <w:szCs w:val="24"/>
          <w:lang w:val="en-US" w:eastAsia="zh-CN"/>
        </w:rPr>
        <w:t>根据需要【同步纳税人基本信息】资料；</w:t>
      </w:r>
    </w:p>
    <w:p>
      <w:pPr>
        <w:outlineLvl w:val="1"/>
        <w:rPr>
          <w:rFonts w:hint="eastAsia"/>
          <w:b/>
          <w:bCs/>
          <w:sz w:val="30"/>
          <w:szCs w:val="30"/>
          <w:lang w:val="en-US" w:eastAsia="zh-CN"/>
        </w:rPr>
      </w:pPr>
      <w:bookmarkStart w:id="17" w:name="_Toc16712"/>
      <w:r>
        <w:rPr>
          <w:rFonts w:hint="eastAsia"/>
          <w:b/>
          <w:bCs/>
          <w:sz w:val="30"/>
          <w:szCs w:val="30"/>
          <w:lang w:val="en-US" w:eastAsia="zh-CN"/>
        </w:rPr>
        <w:t>7、查询纳税人风险信息：</w:t>
      </w:r>
      <w:bookmarkEnd w:id="17"/>
    </w:p>
    <w:p>
      <w:pPr>
        <w:numPr>
          <w:ilvl w:val="0"/>
          <w:numId w:val="0"/>
        </w:numPr>
        <w:ind w:firstLine="480" w:firstLineChars="200"/>
        <w:rPr>
          <w:rFonts w:hint="eastAsia"/>
          <w:sz w:val="24"/>
          <w:szCs w:val="24"/>
          <w:lang w:val="en-US" w:eastAsia="zh-CN"/>
        </w:rPr>
      </w:pPr>
      <w:r>
        <w:rPr>
          <w:rFonts w:hint="eastAsia"/>
          <w:sz w:val="24"/>
          <w:szCs w:val="24"/>
          <w:lang w:val="en-US" w:eastAsia="zh-CN"/>
        </w:rPr>
        <w:t>根据需要【同步更新】纳税人风险信息资料；</w:t>
      </w:r>
    </w:p>
    <w:p>
      <w:pPr>
        <w:outlineLvl w:val="1"/>
        <w:rPr>
          <w:rFonts w:hint="eastAsia"/>
          <w:b/>
          <w:bCs/>
          <w:sz w:val="30"/>
          <w:szCs w:val="30"/>
          <w:lang w:val="en-US" w:eastAsia="zh-CN"/>
        </w:rPr>
      </w:pPr>
      <w:bookmarkStart w:id="18" w:name="_Toc11961"/>
      <w:r>
        <w:rPr>
          <w:rFonts w:hint="eastAsia"/>
          <w:b/>
          <w:bCs/>
          <w:sz w:val="30"/>
          <w:szCs w:val="30"/>
          <w:lang w:val="en-US" w:eastAsia="zh-CN"/>
        </w:rPr>
        <w:t>8、票据类型设置：</w:t>
      </w:r>
      <w:bookmarkEnd w:id="18"/>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→系统设置</w:t>
      </w:r>
    </w:p>
    <w:p>
      <w:pPr>
        <w:numPr>
          <w:ilvl w:val="0"/>
          <w:numId w:val="0"/>
        </w:numPr>
        <w:ind w:firstLine="480" w:firstLineChars="200"/>
        <w:rPr>
          <w:rFonts w:hint="eastAsia"/>
          <w:sz w:val="24"/>
          <w:szCs w:val="24"/>
          <w:lang w:val="en-US" w:eastAsia="zh-CN"/>
        </w:rPr>
      </w:pPr>
      <w:r>
        <w:rPr>
          <w:rFonts w:hint="eastAsia"/>
          <w:sz w:val="24"/>
          <w:szCs w:val="24"/>
          <w:lang w:val="en-US" w:eastAsia="zh-CN"/>
        </w:rPr>
        <w:t>→票据样式类型；</w:t>
      </w:r>
    </w:p>
    <w:p>
      <w:pPr>
        <w:numPr>
          <w:ilvl w:val="0"/>
          <w:numId w:val="0"/>
        </w:numPr>
        <w:ind w:firstLine="480" w:firstLineChars="200"/>
        <w:rPr>
          <w:rFonts w:hint="eastAsia"/>
          <w:sz w:val="24"/>
          <w:szCs w:val="24"/>
          <w:lang w:val="en-US" w:eastAsia="zh-CN"/>
        </w:rPr>
      </w:pPr>
      <w:r>
        <w:rPr>
          <w:rFonts w:hint="eastAsia"/>
          <w:sz w:val="24"/>
          <w:szCs w:val="24"/>
          <w:lang w:val="en-US" w:eastAsia="zh-CN"/>
        </w:rPr>
        <w:t>树列表选择公司、小区；根据需要进行添加票据类型或选择已有的票据类型进行修改配置；添加票据类型操作：选择小区，点击【添加票据类型】输入票据类型名称（乐企数电普票、乐企数电专票），打勾正式发票类型，选择票据打印方式（乐企数电开票），输入开票信息：企业名称（开票方名称）、纳税人代码、开户行名称、开户行账号、地址、电话，打勾使用票据号码管理（目前系统需要通过此功能管理乐企票据号码进行开票）。</w:t>
      </w:r>
    </w:p>
    <w:p>
      <w:pPr>
        <w:numPr>
          <w:ilvl w:val="0"/>
          <w:numId w:val="0"/>
        </w:numPr>
        <w:rPr>
          <w:rFonts w:hint="eastAsia"/>
          <w:sz w:val="24"/>
          <w:szCs w:val="24"/>
          <w:lang w:val="en-US" w:eastAsia="zh-CN"/>
        </w:rPr>
      </w:pPr>
    </w:p>
    <w:p>
      <w:pPr>
        <w:outlineLvl w:val="1"/>
        <w:rPr>
          <w:rFonts w:hint="eastAsia"/>
          <w:b/>
          <w:bCs/>
          <w:sz w:val="30"/>
          <w:szCs w:val="30"/>
          <w:lang w:val="en-US" w:eastAsia="zh-CN"/>
        </w:rPr>
      </w:pPr>
      <w:bookmarkStart w:id="19" w:name="_Toc28778"/>
      <w:r>
        <w:rPr>
          <w:rFonts w:hint="eastAsia"/>
          <w:b/>
          <w:bCs/>
          <w:sz w:val="30"/>
          <w:szCs w:val="30"/>
          <w:lang w:val="en-US" w:eastAsia="zh-CN"/>
        </w:rPr>
        <w:t>9、小区配置：</w:t>
      </w:r>
      <w:bookmarkEnd w:id="19"/>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→系统设置</w:t>
      </w:r>
    </w:p>
    <w:p>
      <w:pPr>
        <w:numPr>
          <w:ilvl w:val="0"/>
          <w:numId w:val="0"/>
        </w:numPr>
        <w:ind w:firstLine="480" w:firstLineChars="200"/>
        <w:rPr>
          <w:rFonts w:hint="eastAsia"/>
          <w:sz w:val="24"/>
          <w:szCs w:val="24"/>
          <w:lang w:val="en-US" w:eastAsia="zh-CN"/>
        </w:rPr>
      </w:pPr>
      <w:r>
        <w:rPr>
          <w:rFonts w:hint="eastAsia"/>
          <w:sz w:val="24"/>
          <w:szCs w:val="24"/>
          <w:lang w:val="en-US" w:eastAsia="zh-CN"/>
        </w:rPr>
        <w:t>→小区配置；选择小区，在增值税普通发票显示设置【软件直接对接国税开票】，选择“打开”并保存。</w:t>
      </w:r>
    </w:p>
    <w:p>
      <w:pPr>
        <w:numPr>
          <w:ilvl w:val="0"/>
          <w:numId w:val="0"/>
        </w:numPr>
        <w:rPr>
          <w:rFonts w:hint="eastAsia"/>
          <w:sz w:val="24"/>
          <w:szCs w:val="24"/>
          <w:lang w:val="en-US" w:eastAsia="zh-CN"/>
        </w:rPr>
      </w:pPr>
    </w:p>
    <w:p>
      <w:pPr>
        <w:numPr>
          <w:ilvl w:val="0"/>
          <w:numId w:val="0"/>
        </w:numPr>
      </w:pPr>
      <w:r>
        <w:drawing>
          <wp:inline distT="0" distB="0" distL="114300" distR="114300">
            <wp:extent cx="6181725" cy="302387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6181725" cy="3023870"/>
                    </a:xfrm>
                    <a:prstGeom prst="rect">
                      <a:avLst/>
                    </a:prstGeom>
                    <a:noFill/>
                    <a:ln>
                      <a:noFill/>
                    </a:ln>
                  </pic:spPr>
                </pic:pic>
              </a:graphicData>
            </a:graphic>
          </wp:inline>
        </w:drawing>
      </w:r>
    </w:p>
    <w:p>
      <w:pPr>
        <w:numPr>
          <w:ilvl w:val="0"/>
          <w:numId w:val="0"/>
        </w:numPr>
      </w:pPr>
    </w:p>
    <w:p>
      <w:pPr>
        <w:outlineLvl w:val="1"/>
        <w:rPr>
          <w:rFonts w:hint="default"/>
          <w:b/>
          <w:bCs/>
          <w:sz w:val="30"/>
          <w:szCs w:val="30"/>
          <w:lang w:val="en-US" w:eastAsia="zh-CN"/>
        </w:rPr>
      </w:pPr>
      <w:bookmarkStart w:id="20" w:name="_Toc8827"/>
      <w:r>
        <w:rPr>
          <w:rFonts w:hint="eastAsia"/>
          <w:b/>
          <w:bCs/>
          <w:sz w:val="30"/>
          <w:szCs w:val="30"/>
          <w:lang w:val="en-US" w:eastAsia="zh-CN"/>
        </w:rPr>
        <w:t>10、数电票汇总信息上传（每月一次）</w:t>
      </w:r>
      <w:bookmarkEnd w:id="20"/>
    </w:p>
    <w:p>
      <w:pPr>
        <w:numPr>
          <w:ilvl w:val="0"/>
          <w:numId w:val="0"/>
        </w:numPr>
        <w:ind w:firstLine="480" w:firstLineChars="200"/>
        <w:rPr>
          <w:rFonts w:hint="eastAsia"/>
          <w:sz w:val="24"/>
          <w:szCs w:val="24"/>
          <w:lang w:val="en-US" w:eastAsia="zh-CN"/>
        </w:rPr>
      </w:pPr>
      <w:r>
        <w:rPr>
          <w:rFonts w:hint="eastAsia"/>
          <w:sz w:val="24"/>
          <w:szCs w:val="24"/>
          <w:lang w:val="en-US" w:eastAsia="zh-CN"/>
        </w:rPr>
        <w:t>企业在每月13日前需按自然月汇总上月在本平台开具的数电票的数量、金额和税额上传至乐企服务端，与乐企服务端汇总接收到的数电票信息进行比对，若比对一致，返回比对成功；若比对不一致，返回具体失败信息，由企业核实后，再次上传。开票汇总确认后不允许上传已确认的月份的数子化电子发票说明。</w:t>
      </w:r>
    </w:p>
    <w:p>
      <w:pPr>
        <w:numPr>
          <w:ilvl w:val="0"/>
          <w:numId w:val="0"/>
        </w:numPr>
        <w:ind w:firstLine="480" w:firstLineChars="200"/>
        <w:rPr>
          <w:rFonts w:hint="eastAsia"/>
          <w:sz w:val="24"/>
          <w:szCs w:val="24"/>
          <w:lang w:val="en-US" w:eastAsia="zh-CN"/>
        </w:rPr>
      </w:pPr>
      <w:r>
        <w:rPr>
          <w:rFonts w:hint="eastAsia"/>
          <w:sz w:val="24"/>
          <w:szCs w:val="24"/>
          <w:lang w:val="en-US" w:eastAsia="zh-CN"/>
        </w:rPr>
        <w:t>若企业在每月13日前未上传上个月的发票汇总确认信息，乐企服务端将在13日零点汇总乐企服务端接收到的上个月的数子化电子发票。每月13日零点之后，上个月未上传的发票，请重新开具。</w:t>
      </w:r>
    </w:p>
    <w:p>
      <w:pPr>
        <w:numPr>
          <w:ilvl w:val="0"/>
          <w:numId w:val="0"/>
        </w:numPr>
        <w:ind w:firstLine="480" w:firstLineChars="200"/>
        <w:rPr>
          <w:rFonts w:hint="eastAsia"/>
          <w:sz w:val="24"/>
          <w:szCs w:val="24"/>
          <w:lang w:val="en-US" w:eastAsia="zh-CN"/>
        </w:rPr>
      </w:pPr>
      <w:r>
        <w:rPr>
          <w:rFonts w:hint="eastAsia"/>
          <w:sz w:val="24"/>
          <w:szCs w:val="24"/>
          <w:lang w:val="en-US" w:eastAsia="zh-CN"/>
        </w:rPr>
        <w:t>每月13日之前，当企业上传发票汇总确认信息后，发现已确认的月份还有数电票未上传，可以取消发票汇总确认，把未上传的数电票上传至乐企服务端后再次上传发票汇总确认信息。</w:t>
      </w:r>
    </w:p>
    <w:p>
      <w:pPr>
        <w:numPr>
          <w:ilvl w:val="0"/>
          <w:numId w:val="0"/>
        </w:numPr>
        <w:ind w:firstLine="482" w:firstLineChars="200"/>
        <w:rPr>
          <w:rFonts w:hint="eastAsia"/>
          <w:sz w:val="24"/>
          <w:szCs w:val="24"/>
          <w:lang w:val="en-US" w:eastAsia="zh-CN"/>
        </w:rPr>
      </w:pPr>
      <w:r>
        <w:rPr>
          <w:rFonts w:hint="eastAsia"/>
          <w:b/>
          <w:bCs/>
          <w:sz w:val="24"/>
          <w:szCs w:val="24"/>
          <w:lang w:val="en-US" w:eastAsia="zh-CN"/>
        </w:rPr>
        <w:t>操作步骤（如下图）：【一般建议每月3~13日上传数据；</w:t>
      </w:r>
      <w:r>
        <w:rPr>
          <w:rFonts w:hint="eastAsia"/>
          <w:b/>
          <w:bCs/>
          <w:color w:val="FF0000"/>
          <w:sz w:val="24"/>
          <w:szCs w:val="24"/>
          <w:lang w:val="en-US" w:eastAsia="zh-CN"/>
        </w:rPr>
        <w:t>上传发票数据后才能在税务报税成功，否则不能报税</w:t>
      </w:r>
      <w:r>
        <w:rPr>
          <w:rFonts w:hint="eastAsia"/>
          <w:b/>
          <w:bCs/>
          <w:sz w:val="24"/>
          <w:szCs w:val="24"/>
          <w:lang w:val="en-US" w:eastAsia="zh-CN"/>
        </w:rPr>
        <w:t>】</w:t>
      </w:r>
    </w:p>
    <w:p>
      <w:pPr>
        <w:numPr>
          <w:ilvl w:val="0"/>
          <w:numId w:val="0"/>
        </w:numPr>
        <w:ind w:firstLine="480" w:firstLineChars="200"/>
        <w:rPr>
          <w:rFonts w:hint="eastAsia"/>
          <w:sz w:val="24"/>
          <w:szCs w:val="24"/>
          <w:lang w:val="en-US" w:eastAsia="zh-CN"/>
        </w:rPr>
      </w:pPr>
      <w:r>
        <w:rPr>
          <w:rFonts w:hint="eastAsia"/>
          <w:sz w:val="24"/>
          <w:szCs w:val="24"/>
          <w:lang w:val="en-US" w:eastAsia="zh-CN"/>
        </w:rPr>
        <w:t>物业管理（数字物业云服务平台）</w:t>
      </w:r>
    </w:p>
    <w:p>
      <w:pPr>
        <w:numPr>
          <w:ilvl w:val="0"/>
          <w:numId w:val="0"/>
        </w:numPr>
        <w:ind w:firstLine="480" w:firstLineChars="200"/>
        <w:rPr>
          <w:rFonts w:hint="eastAsia"/>
          <w:sz w:val="24"/>
          <w:szCs w:val="24"/>
          <w:lang w:val="en-US" w:eastAsia="zh-CN"/>
        </w:rPr>
      </w:pPr>
      <w:r>
        <w:rPr>
          <w:rFonts w:hint="eastAsia"/>
          <w:sz w:val="24"/>
          <w:szCs w:val="24"/>
          <w:lang w:val="en-US" w:eastAsia="zh-CN"/>
        </w:rPr>
        <w:t xml:space="preserve">→乐企开票 </w:t>
      </w:r>
    </w:p>
    <w:p>
      <w:pPr>
        <w:numPr>
          <w:ilvl w:val="0"/>
          <w:numId w:val="0"/>
        </w:numPr>
        <w:ind w:firstLine="480" w:firstLineChars="200"/>
        <w:rPr>
          <w:rFonts w:hint="eastAsia"/>
          <w:sz w:val="24"/>
          <w:szCs w:val="24"/>
          <w:lang w:val="en-US" w:eastAsia="zh-CN"/>
        </w:rPr>
      </w:pPr>
      <w:r>
        <w:rPr>
          <w:rFonts w:hint="eastAsia"/>
          <w:sz w:val="24"/>
          <w:szCs w:val="24"/>
          <w:lang w:val="en-US" w:eastAsia="zh-CN"/>
        </w:rPr>
        <w:t>→上传发票汇总确认信息；</w:t>
      </w:r>
    </w:p>
    <w:p>
      <w:pPr>
        <w:numPr>
          <w:ilvl w:val="0"/>
          <w:numId w:val="0"/>
        </w:numPr>
        <w:ind w:firstLine="480" w:firstLineChars="200"/>
        <w:rPr>
          <w:rFonts w:hint="eastAsia"/>
          <w:sz w:val="24"/>
          <w:szCs w:val="24"/>
          <w:lang w:val="en-US" w:eastAsia="zh-CN"/>
        </w:rPr>
      </w:pPr>
      <w:r>
        <w:rPr>
          <w:rFonts w:hint="eastAsia"/>
          <w:sz w:val="24"/>
          <w:szCs w:val="24"/>
          <w:lang w:val="en-US" w:eastAsia="zh-CN"/>
        </w:rPr>
        <w:t>树列表选择分公司；月份默认为上月的月份信息；核对下蓝字发票、红字发票信息正确与否；点击【上传】按钮上传数据，上传成功会收到弹窗提示。</w:t>
      </w:r>
    </w:p>
    <w:p>
      <w:pPr>
        <w:numPr>
          <w:ilvl w:val="0"/>
          <w:numId w:val="0"/>
        </w:numPr>
        <w:rPr>
          <w:rFonts w:hint="eastAsia"/>
          <w:sz w:val="24"/>
          <w:szCs w:val="24"/>
          <w:lang w:val="en-US" w:eastAsia="zh-CN"/>
        </w:rPr>
      </w:pPr>
      <w:r>
        <w:rPr>
          <w:rFonts w:hint="eastAsia"/>
          <w:sz w:val="24"/>
          <w:szCs w:val="24"/>
          <w:lang w:val="en-US" w:eastAsia="zh-CN"/>
        </w:rPr>
        <w:drawing>
          <wp:inline distT="0" distB="0" distL="114300" distR="114300">
            <wp:extent cx="6127115" cy="2112645"/>
            <wp:effectExtent l="0" t="0" r="6985" b="1905"/>
            <wp:docPr id="36" name="图片 36" descr="17149671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14967173371"/>
                    <pic:cNvPicPr>
                      <a:picLocks noChangeAspect="1"/>
                    </pic:cNvPicPr>
                  </pic:nvPicPr>
                  <pic:blipFill>
                    <a:blip r:embed="rId29"/>
                    <a:stretch>
                      <a:fillRect/>
                    </a:stretch>
                  </pic:blipFill>
                  <pic:spPr>
                    <a:xfrm>
                      <a:off x="0" y="0"/>
                      <a:ext cx="6127115" cy="2112645"/>
                    </a:xfrm>
                    <a:prstGeom prst="rect">
                      <a:avLst/>
                    </a:prstGeom>
                  </pic:spPr>
                </pic:pic>
              </a:graphicData>
            </a:graphic>
          </wp:inline>
        </w:drawing>
      </w:r>
    </w:p>
    <w:p>
      <w:pPr>
        <w:numPr>
          <w:ilvl w:val="0"/>
          <w:numId w:val="0"/>
        </w:numPr>
        <w:rPr>
          <w:rFonts w:hint="eastAsia"/>
          <w:lang w:val="en-US" w:eastAsia="zh-CN"/>
        </w:rPr>
      </w:pPr>
    </w:p>
    <w:p>
      <w:pPr>
        <w:rPr>
          <w:rFonts w:hint="eastAsia"/>
          <w:b/>
          <w:bCs/>
          <w:sz w:val="30"/>
          <w:szCs w:val="30"/>
          <w:lang w:val="en-US" w:eastAsia="zh-CN"/>
        </w:rPr>
      </w:pPr>
      <w:r>
        <w:rPr>
          <w:rFonts w:hint="eastAsia"/>
          <w:b/>
          <w:bCs/>
          <w:sz w:val="30"/>
          <w:szCs w:val="30"/>
          <w:lang w:val="en-US" w:eastAsia="zh-CN"/>
        </w:rPr>
        <w:br w:type="page"/>
      </w:r>
    </w:p>
    <w:p>
      <w:pPr>
        <w:jc w:val="left"/>
        <w:outlineLvl w:val="0"/>
        <w:rPr>
          <w:rFonts w:hint="default" w:ascii="微软雅黑" w:hAnsi="微软雅黑" w:eastAsia="微软雅黑" w:cs="微软雅黑"/>
          <w:b w:val="0"/>
          <w:bCs w:val="0"/>
          <w:sz w:val="48"/>
          <w:szCs w:val="48"/>
          <w:lang w:val="en-US" w:eastAsia="zh-CN"/>
        </w:rPr>
      </w:pPr>
      <w:bookmarkStart w:id="21" w:name="_Toc10056"/>
      <w:r>
        <w:rPr>
          <w:rFonts w:hint="eastAsia" w:ascii="微软雅黑" w:hAnsi="微软雅黑" w:eastAsia="微软雅黑" w:cs="微软雅黑"/>
          <w:b w:val="0"/>
          <w:bCs w:val="0"/>
          <w:sz w:val="48"/>
          <w:szCs w:val="48"/>
          <w:lang w:val="en-US" w:eastAsia="zh-CN"/>
        </w:rPr>
        <w:t>三、</w:t>
      </w:r>
      <w:bookmarkStart w:id="22" w:name="日常开票操作"/>
      <w:bookmarkEnd w:id="22"/>
      <w:r>
        <w:rPr>
          <w:rFonts w:hint="eastAsia" w:ascii="微软雅黑" w:hAnsi="微软雅黑" w:eastAsia="微软雅黑" w:cs="微软雅黑"/>
          <w:b w:val="0"/>
          <w:bCs w:val="0"/>
          <w:sz w:val="48"/>
          <w:szCs w:val="48"/>
          <w:lang w:val="en-US" w:eastAsia="zh-CN"/>
        </w:rPr>
        <w:t>日常开票初始化及操作</w:t>
      </w:r>
      <w:bookmarkEnd w:id="21"/>
    </w:p>
    <w:p>
      <w:pPr>
        <w:outlineLvl w:val="1"/>
        <w:rPr>
          <w:rFonts w:hint="eastAsia"/>
          <w:b/>
          <w:bCs/>
          <w:sz w:val="30"/>
          <w:szCs w:val="30"/>
          <w:lang w:val="en-US" w:eastAsia="zh-CN"/>
        </w:rPr>
      </w:pPr>
      <w:bookmarkStart w:id="23" w:name="_Toc1682"/>
      <w:r>
        <w:rPr>
          <w:rFonts w:hint="eastAsia"/>
          <w:b/>
          <w:bCs/>
          <w:sz w:val="30"/>
          <w:szCs w:val="30"/>
          <w:lang w:val="en-US" w:eastAsia="zh-CN"/>
        </w:rPr>
        <w:t>1、角色管理：</w:t>
      </w:r>
      <w:bookmarkEnd w:id="23"/>
    </w:p>
    <w:p>
      <w:pPr>
        <w:numPr>
          <w:ilvl w:val="0"/>
          <w:numId w:val="0"/>
        </w:numPr>
        <w:ind w:firstLine="480" w:firstLineChars="200"/>
        <w:rPr>
          <w:rFonts w:hint="eastAsia"/>
          <w:sz w:val="24"/>
          <w:szCs w:val="24"/>
          <w:lang w:val="en-US" w:eastAsia="zh-CN"/>
        </w:rPr>
      </w:pPr>
      <w:r>
        <w:rPr>
          <w:rFonts w:hint="eastAsia"/>
          <w:sz w:val="24"/>
          <w:szCs w:val="24"/>
          <w:lang w:val="en-US" w:eastAsia="zh-CN"/>
        </w:rPr>
        <w:t>开通乐企开票权限功能，可以新增一个角色（或在原有的其他角色）配置功能，根据需要分配功能。</w:t>
      </w:r>
    </w:p>
    <w:p>
      <w:pPr>
        <w:numPr>
          <w:ilvl w:val="0"/>
          <w:numId w:val="0"/>
        </w:numPr>
        <w:ind w:firstLine="480" w:firstLineChars="200"/>
        <w:rPr>
          <w:rFonts w:hint="eastAsia"/>
          <w:sz w:val="24"/>
          <w:szCs w:val="24"/>
          <w:lang w:val="en-US" w:eastAsia="zh-CN"/>
        </w:rPr>
      </w:pPr>
      <w:r>
        <w:rPr>
          <w:rFonts w:hint="eastAsia"/>
          <w:sz w:val="24"/>
          <w:szCs w:val="24"/>
          <w:lang w:val="en-US" w:eastAsia="zh-CN"/>
        </w:rPr>
        <w:t xml:space="preserve">  “物业管理3.0”→“收款管理”</w:t>
      </w:r>
    </w:p>
    <w:p>
      <w:pPr>
        <w:numPr>
          <w:ilvl w:val="0"/>
          <w:numId w:val="0"/>
        </w:numPr>
        <w:ind w:firstLine="960" w:firstLineChars="400"/>
        <w:rPr>
          <w:rFonts w:hint="eastAsia"/>
          <w:sz w:val="24"/>
          <w:szCs w:val="24"/>
          <w:lang w:val="en-US" w:eastAsia="zh-CN"/>
        </w:rPr>
      </w:pPr>
      <w:r>
        <w:rPr>
          <w:rFonts w:hint="eastAsia"/>
          <w:sz w:val="24"/>
          <w:szCs w:val="24"/>
          <w:lang w:val="en-US" w:eastAsia="zh-CN"/>
        </w:rPr>
        <w:t>→“当前欠款”的乐企数电普票、乐企数电专票、预存乐企数电普票</w:t>
      </w:r>
    </w:p>
    <w:p>
      <w:pPr>
        <w:numPr>
          <w:ilvl w:val="0"/>
          <w:numId w:val="0"/>
        </w:numPr>
        <w:ind w:firstLine="960" w:firstLineChars="400"/>
        <w:rPr>
          <w:rFonts w:hint="eastAsia"/>
          <w:sz w:val="24"/>
          <w:szCs w:val="24"/>
          <w:lang w:val="en-US" w:eastAsia="zh-CN"/>
        </w:rPr>
      </w:pPr>
      <w:r>
        <w:rPr>
          <w:rFonts w:hint="eastAsia"/>
          <w:sz w:val="24"/>
          <w:szCs w:val="24"/>
          <w:lang w:val="en-US" w:eastAsia="zh-CN"/>
        </w:rPr>
        <w:t>→“应收票据”的乐企增值税红字开票、补开乐企数电普票、补开乐企数电专票</w:t>
      </w:r>
    </w:p>
    <w:p>
      <w:pPr>
        <w:numPr>
          <w:ilvl w:val="0"/>
          <w:numId w:val="0"/>
        </w:numPr>
        <w:ind w:firstLine="960" w:firstLineChars="400"/>
        <w:rPr>
          <w:rFonts w:hint="eastAsia"/>
          <w:sz w:val="24"/>
          <w:szCs w:val="24"/>
          <w:lang w:val="en-US" w:eastAsia="zh-CN"/>
        </w:rPr>
      </w:pPr>
      <w:r>
        <w:rPr>
          <w:rFonts w:hint="eastAsia"/>
          <w:sz w:val="24"/>
          <w:szCs w:val="24"/>
          <w:lang w:val="en-US" w:eastAsia="zh-CN"/>
        </w:rPr>
        <w:t>→“预存单据”的乐企红冲</w:t>
      </w:r>
    </w:p>
    <w:p>
      <w:pPr>
        <w:outlineLvl w:val="1"/>
        <w:rPr>
          <w:rFonts w:hint="eastAsia"/>
          <w:b/>
          <w:bCs/>
          <w:sz w:val="30"/>
          <w:szCs w:val="30"/>
          <w:lang w:val="en-US" w:eastAsia="zh-CN"/>
        </w:rPr>
      </w:pPr>
      <w:bookmarkStart w:id="24" w:name="_Toc9108"/>
      <w:r>
        <w:rPr>
          <w:rFonts w:hint="eastAsia"/>
          <w:b/>
          <w:bCs/>
          <w:sz w:val="30"/>
          <w:szCs w:val="30"/>
          <w:lang w:val="en-US" w:eastAsia="zh-CN"/>
        </w:rPr>
        <w:t>2、用户账号（开票员身份证号码）</w:t>
      </w:r>
      <w:bookmarkEnd w:id="24"/>
    </w:p>
    <w:p>
      <w:pPr>
        <w:numPr>
          <w:ilvl w:val="0"/>
          <w:numId w:val="0"/>
        </w:numPr>
        <w:ind w:firstLine="480" w:firstLineChars="200"/>
        <w:rPr>
          <w:rFonts w:hint="eastAsia"/>
          <w:sz w:val="24"/>
          <w:szCs w:val="24"/>
          <w:lang w:val="en-US" w:eastAsia="zh-CN"/>
        </w:rPr>
      </w:pPr>
      <w:r>
        <w:rPr>
          <w:rFonts w:hint="eastAsia"/>
          <w:sz w:val="24"/>
          <w:szCs w:val="24"/>
          <w:lang w:val="en-US" w:eastAsia="zh-CN"/>
        </w:rPr>
        <w:t>分配有乐企开票功能的角色，配置开票员账号填写属性</w:t>
      </w:r>
      <w:r>
        <w:rPr>
          <w:rFonts w:hint="eastAsia"/>
          <w:b/>
          <w:bCs/>
          <w:color w:val="FF0000"/>
          <w:sz w:val="24"/>
          <w:szCs w:val="24"/>
          <w:lang w:val="en-US" w:eastAsia="zh-CN"/>
        </w:rPr>
        <w:t>用户姓名</w:t>
      </w:r>
      <w:r>
        <w:rPr>
          <w:rFonts w:hint="eastAsia"/>
          <w:color w:val="FF0000"/>
          <w:sz w:val="24"/>
          <w:szCs w:val="24"/>
          <w:lang w:val="en-US" w:eastAsia="zh-CN"/>
        </w:rPr>
        <w:t>（需真实姓名全称）</w:t>
      </w:r>
      <w:r>
        <w:rPr>
          <w:rFonts w:hint="eastAsia"/>
          <w:sz w:val="24"/>
          <w:szCs w:val="24"/>
          <w:lang w:val="en-US" w:eastAsia="zh-CN"/>
        </w:rPr>
        <w:t>、</w:t>
      </w:r>
      <w:r>
        <w:rPr>
          <w:rFonts w:hint="eastAsia"/>
          <w:b/>
          <w:bCs/>
          <w:color w:val="FF0000"/>
          <w:sz w:val="24"/>
          <w:szCs w:val="24"/>
          <w:lang w:val="en-US" w:eastAsia="zh-CN"/>
        </w:rPr>
        <w:t>身份证号码（必须输入）</w:t>
      </w:r>
      <w:r>
        <w:rPr>
          <w:rFonts w:hint="eastAsia"/>
          <w:sz w:val="24"/>
          <w:szCs w:val="24"/>
          <w:lang w:val="en-US" w:eastAsia="zh-CN"/>
        </w:rPr>
        <w:t>、</w:t>
      </w:r>
      <w:r>
        <w:rPr>
          <w:rFonts w:hint="eastAsia"/>
          <w:b/>
          <w:bCs/>
          <w:sz w:val="24"/>
          <w:szCs w:val="24"/>
          <w:lang w:val="en-US" w:eastAsia="zh-CN"/>
        </w:rPr>
        <w:t>移动电话</w:t>
      </w:r>
      <w:r>
        <w:rPr>
          <w:rFonts w:hint="eastAsia"/>
          <w:sz w:val="24"/>
          <w:szCs w:val="24"/>
          <w:lang w:val="en-US" w:eastAsia="zh-CN"/>
        </w:rPr>
        <w:t>（备用）</w:t>
      </w:r>
    </w:p>
    <w:p>
      <w:pPr>
        <w:numPr>
          <w:ilvl w:val="0"/>
          <w:numId w:val="0"/>
        </w:numPr>
        <w:rPr>
          <w:rFonts w:hint="eastAsia"/>
          <w:sz w:val="24"/>
          <w:szCs w:val="24"/>
          <w:lang w:val="en-US" w:eastAsia="zh-CN"/>
        </w:rPr>
      </w:pPr>
      <w:r>
        <w:drawing>
          <wp:inline distT="0" distB="0" distL="114300" distR="114300">
            <wp:extent cx="5886450" cy="4876800"/>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30"/>
                    <a:stretch>
                      <a:fillRect/>
                    </a:stretch>
                  </pic:blipFill>
                  <pic:spPr>
                    <a:xfrm>
                      <a:off x="0" y="0"/>
                      <a:ext cx="5886450" cy="4876800"/>
                    </a:xfrm>
                    <a:prstGeom prst="rect">
                      <a:avLst/>
                    </a:prstGeom>
                    <a:noFill/>
                    <a:ln>
                      <a:noFill/>
                    </a:ln>
                  </pic:spPr>
                </pic:pic>
              </a:graphicData>
            </a:graphic>
          </wp:inline>
        </w:drawing>
      </w:r>
    </w:p>
    <w:p>
      <w:pPr>
        <w:outlineLvl w:val="1"/>
        <w:rPr>
          <w:rFonts w:hint="default"/>
          <w:b/>
          <w:bCs/>
          <w:sz w:val="30"/>
          <w:szCs w:val="30"/>
          <w:lang w:val="en-US" w:eastAsia="zh-CN"/>
        </w:rPr>
      </w:pPr>
      <w:bookmarkStart w:id="25" w:name="_Toc20512"/>
      <w:r>
        <w:rPr>
          <w:rFonts w:hint="eastAsia"/>
          <w:b/>
          <w:bCs/>
          <w:sz w:val="30"/>
          <w:szCs w:val="30"/>
          <w:lang w:val="en-US" w:eastAsia="zh-CN"/>
        </w:rPr>
        <w:t>3、系统设置（科目设置）</w:t>
      </w:r>
      <w:bookmarkEnd w:id="25"/>
    </w:p>
    <w:p>
      <w:pPr>
        <w:numPr>
          <w:ilvl w:val="0"/>
          <w:numId w:val="0"/>
        </w:numPr>
        <w:ind w:firstLine="480" w:firstLineChars="200"/>
        <w:rPr>
          <w:rFonts w:hint="default"/>
          <w:b w:val="0"/>
          <w:bCs w:val="0"/>
          <w:color w:val="auto"/>
          <w:sz w:val="24"/>
          <w:szCs w:val="24"/>
          <w:lang w:val="en-US" w:eastAsia="zh-CN"/>
        </w:rPr>
      </w:pPr>
      <w:r>
        <w:rPr>
          <w:rFonts w:hint="eastAsia"/>
          <w:sz w:val="24"/>
          <w:szCs w:val="24"/>
          <w:lang w:val="en-US" w:eastAsia="zh-CN"/>
        </w:rPr>
        <w:t>编辑或增加新的科目名称（用于开票打印或上传给国税的开具项目名称）、</w:t>
      </w:r>
      <w:r>
        <w:rPr>
          <w:rFonts w:hint="eastAsia"/>
          <w:b/>
          <w:bCs/>
          <w:color w:val="FF0000"/>
          <w:sz w:val="24"/>
          <w:szCs w:val="24"/>
          <w:lang w:val="en-US" w:eastAsia="zh-CN"/>
        </w:rPr>
        <w:t>商品编码（必填）、商品简称（必填）</w:t>
      </w:r>
      <w:r>
        <w:rPr>
          <w:rFonts w:hint="eastAsia"/>
          <w:color w:val="FF0000"/>
          <w:sz w:val="24"/>
          <w:szCs w:val="24"/>
          <w:lang w:val="en-US" w:eastAsia="zh-CN"/>
        </w:rPr>
        <w:t>；</w:t>
      </w:r>
      <w:r>
        <w:rPr>
          <w:rFonts w:hint="eastAsia"/>
          <w:color w:val="auto"/>
          <w:sz w:val="24"/>
          <w:szCs w:val="24"/>
          <w:lang w:val="en-US" w:eastAsia="zh-CN"/>
        </w:rPr>
        <w:t>根据需要填写优惠政策、是否零税率、增值税特殊管理、全电特定要素（特定要素默认为“普通发票”、不动产租赁的选择“不动产经营租赁服务”），</w:t>
      </w:r>
      <w:r>
        <w:rPr>
          <w:rFonts w:hint="eastAsia"/>
          <w:color w:val="FF0000"/>
          <w:sz w:val="24"/>
          <w:szCs w:val="24"/>
          <w:lang w:val="en-US" w:eastAsia="zh-CN"/>
        </w:rPr>
        <w:t>【商品编码、商品简称参考电子税局名称编码】</w:t>
      </w:r>
      <w:r>
        <w:rPr>
          <w:rFonts w:hint="eastAsia"/>
          <w:b w:val="0"/>
          <w:bCs w:val="0"/>
          <w:color w:val="auto"/>
          <w:sz w:val="24"/>
          <w:szCs w:val="24"/>
          <w:lang w:val="en-US" w:eastAsia="zh-CN"/>
        </w:rPr>
        <w:t>，输入商品编码时候位数长度不足19位的后面补“</w:t>
      </w:r>
      <w:r>
        <w:rPr>
          <w:rFonts w:hint="eastAsia"/>
          <w:b/>
          <w:bCs/>
          <w:color w:val="FF0000"/>
          <w:sz w:val="24"/>
          <w:szCs w:val="24"/>
          <w:lang w:val="en-US" w:eastAsia="zh-CN"/>
        </w:rPr>
        <w:t>0</w:t>
      </w:r>
      <w:r>
        <w:rPr>
          <w:rFonts w:hint="eastAsia"/>
          <w:b w:val="0"/>
          <w:bCs w:val="0"/>
          <w:color w:val="auto"/>
          <w:sz w:val="24"/>
          <w:szCs w:val="24"/>
          <w:lang w:val="en-US" w:eastAsia="zh-CN"/>
        </w:rPr>
        <w:t>”补到19位数字长度</w:t>
      </w:r>
    </w:p>
    <w:p>
      <w:pPr>
        <w:numPr>
          <w:ilvl w:val="0"/>
          <w:numId w:val="0"/>
        </w:numPr>
        <w:ind w:firstLine="480" w:firstLineChars="200"/>
        <w:rPr>
          <w:rFonts w:hint="default"/>
          <w:sz w:val="24"/>
          <w:szCs w:val="24"/>
          <w:lang w:val="en-US" w:eastAsia="zh-CN"/>
        </w:rPr>
      </w:pPr>
      <w:r>
        <w:rPr>
          <w:sz w:val="24"/>
          <w:szCs w:val="24"/>
        </w:rPr>
        <w:drawing>
          <wp:inline distT="0" distB="0" distL="114300" distR="114300">
            <wp:extent cx="5265420" cy="181102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65420" cy="1811020"/>
                    </a:xfrm>
                    <a:prstGeom prst="rect">
                      <a:avLst/>
                    </a:prstGeom>
                    <a:noFill/>
                    <a:ln>
                      <a:noFill/>
                    </a:ln>
                  </pic:spPr>
                </pic:pic>
              </a:graphicData>
            </a:graphic>
          </wp:inline>
        </w:drawing>
      </w:r>
    </w:p>
    <w:p>
      <w:pPr>
        <w:outlineLvl w:val="1"/>
        <w:rPr>
          <w:rFonts w:hint="default"/>
          <w:b/>
          <w:bCs/>
          <w:sz w:val="30"/>
          <w:szCs w:val="30"/>
          <w:lang w:val="en-US" w:eastAsia="zh-CN"/>
        </w:rPr>
      </w:pPr>
      <w:bookmarkStart w:id="26" w:name="_Toc25398"/>
      <w:r>
        <w:rPr>
          <w:rFonts w:hint="eastAsia"/>
          <w:b/>
          <w:bCs/>
          <w:sz w:val="30"/>
          <w:szCs w:val="30"/>
          <w:lang w:val="en-US" w:eastAsia="zh-CN"/>
        </w:rPr>
        <w:t>4、收费项目（配置税率）</w:t>
      </w:r>
      <w:bookmarkEnd w:id="26"/>
    </w:p>
    <w:p>
      <w:pPr>
        <w:numPr>
          <w:ilvl w:val="0"/>
          <w:numId w:val="0"/>
        </w:numPr>
        <w:ind w:firstLine="480" w:firstLineChars="200"/>
        <w:rPr>
          <w:rFonts w:hint="default"/>
          <w:b w:val="0"/>
          <w:bCs w:val="0"/>
          <w:color w:val="auto"/>
          <w:sz w:val="24"/>
          <w:szCs w:val="24"/>
          <w:lang w:val="en-US" w:eastAsia="zh-CN"/>
        </w:rPr>
      </w:pPr>
      <w:r>
        <w:rPr>
          <w:rFonts w:hint="eastAsia"/>
          <w:sz w:val="24"/>
          <w:szCs w:val="24"/>
          <w:lang w:val="en-US" w:eastAsia="zh-CN"/>
        </w:rPr>
        <w:t>添加收费项目或在已有的收费项目进行配置，选择费用名称（物业费、水电…），选择或输入</w:t>
      </w:r>
      <w:r>
        <w:rPr>
          <w:rFonts w:hint="eastAsia"/>
          <w:b/>
          <w:bCs/>
          <w:color w:val="FF0000"/>
          <w:sz w:val="24"/>
          <w:szCs w:val="24"/>
          <w:lang w:val="en-US" w:eastAsia="zh-CN"/>
        </w:rPr>
        <w:t>税率、</w:t>
      </w:r>
      <w:r>
        <w:rPr>
          <w:rFonts w:hint="eastAsia"/>
          <w:b w:val="0"/>
          <w:bCs w:val="0"/>
          <w:color w:val="auto"/>
          <w:sz w:val="24"/>
          <w:szCs w:val="24"/>
          <w:lang w:val="en-US" w:eastAsia="zh-CN"/>
        </w:rPr>
        <w:t>科目名称，配置其他相关属性。</w:t>
      </w:r>
    </w:p>
    <w:p>
      <w:pPr>
        <w:outlineLvl w:val="1"/>
        <w:rPr>
          <w:rFonts w:hint="default"/>
          <w:b/>
          <w:bCs/>
          <w:sz w:val="30"/>
          <w:szCs w:val="30"/>
          <w:lang w:val="en-US" w:eastAsia="zh-CN"/>
        </w:rPr>
      </w:pPr>
      <w:bookmarkStart w:id="27" w:name="_Toc13685"/>
      <w:r>
        <w:rPr>
          <w:rFonts w:hint="eastAsia"/>
          <w:b/>
          <w:bCs/>
          <w:sz w:val="30"/>
          <w:szCs w:val="30"/>
          <w:lang w:val="en-US" w:eastAsia="zh-CN"/>
        </w:rPr>
        <w:t>5、收费管理（日常开票操作）</w:t>
      </w:r>
      <w:bookmarkEnd w:id="27"/>
    </w:p>
    <w:p>
      <w:pPr>
        <w:numPr>
          <w:ilvl w:val="0"/>
          <w:numId w:val="0"/>
        </w:numPr>
        <w:ind w:firstLine="480" w:firstLineChars="200"/>
        <w:rPr>
          <w:rFonts w:hint="eastAsia"/>
          <w:sz w:val="24"/>
          <w:szCs w:val="24"/>
          <w:lang w:val="en-US" w:eastAsia="zh-CN"/>
        </w:rPr>
      </w:pPr>
      <w:r>
        <w:rPr>
          <w:rFonts w:hint="eastAsia"/>
          <w:sz w:val="24"/>
          <w:szCs w:val="24"/>
          <w:lang w:val="en-US" w:eastAsia="zh-CN"/>
        </w:rPr>
        <w:t>正常收款开票：选择房间 →  当前欠款 → 选择费用 → 点击【乐企数电普票】（【乐企数电专票】）→ 开票收款（与原来收据操作一致）</w:t>
      </w:r>
    </w:p>
    <w:p>
      <w:pPr>
        <w:numPr>
          <w:ilvl w:val="0"/>
          <w:numId w:val="0"/>
        </w:numPr>
        <w:ind w:firstLine="480" w:firstLineChars="200"/>
        <w:rPr>
          <w:rFonts w:hint="eastAsia"/>
          <w:sz w:val="24"/>
          <w:szCs w:val="24"/>
          <w:lang w:val="en-US" w:eastAsia="zh-CN"/>
        </w:rPr>
      </w:pPr>
      <w:r>
        <w:rPr>
          <w:rFonts w:hint="eastAsia"/>
          <w:sz w:val="24"/>
          <w:szCs w:val="24"/>
          <w:lang w:val="en-US" w:eastAsia="zh-CN"/>
        </w:rPr>
        <w:t>预存费用开票：选择房间 →  当前欠款 → 点击【预存乐企数电普票】→ 开票操作（与原来收据操作一致）</w:t>
      </w:r>
    </w:p>
    <w:p>
      <w:pPr>
        <w:numPr>
          <w:ilvl w:val="0"/>
          <w:numId w:val="0"/>
        </w:numPr>
        <w:ind w:firstLine="480" w:firstLineChars="200"/>
        <w:rPr>
          <w:rFonts w:hint="eastAsia"/>
          <w:sz w:val="24"/>
          <w:szCs w:val="24"/>
          <w:lang w:val="en-US" w:eastAsia="zh-CN"/>
        </w:rPr>
      </w:pPr>
      <w:r>
        <w:rPr>
          <w:rFonts w:hint="eastAsia"/>
          <w:sz w:val="24"/>
          <w:szCs w:val="24"/>
          <w:lang w:val="en-US" w:eastAsia="zh-CN"/>
        </w:rPr>
        <w:t>补开乐企票据：应收票据→ 选择待补开的票据 → 点击【补开乐企数电普票】、【补开乐企数电专票】 → 开票（与原来收据操作一致）</w:t>
      </w:r>
    </w:p>
    <w:p>
      <w:pPr>
        <w:numPr>
          <w:ilvl w:val="0"/>
          <w:numId w:val="0"/>
        </w:numPr>
        <w:ind w:firstLine="480" w:firstLineChars="200"/>
        <w:rPr>
          <w:rFonts w:hint="eastAsia"/>
          <w:sz w:val="24"/>
          <w:szCs w:val="24"/>
          <w:lang w:val="en-US" w:eastAsia="zh-CN"/>
        </w:rPr>
      </w:pPr>
      <w:r>
        <w:rPr>
          <w:rFonts w:hint="eastAsia"/>
          <w:sz w:val="24"/>
          <w:szCs w:val="24"/>
          <w:lang w:val="en-US" w:eastAsia="zh-CN"/>
        </w:rPr>
        <w:t>乐企红字开票：应收票据（预存单据）→ 选择待红冲的票据 → 点击【乐企增值税红字开票】（乐企冲红）→开票（与原来收据操作一致）</w:t>
      </w:r>
    </w:p>
    <w:p>
      <w:pPr>
        <w:outlineLvl w:val="1"/>
        <w:rPr>
          <w:rFonts w:hint="default"/>
          <w:b/>
          <w:bCs/>
          <w:sz w:val="30"/>
          <w:szCs w:val="30"/>
          <w:lang w:val="en-US" w:eastAsia="zh-CN"/>
        </w:rPr>
      </w:pPr>
      <w:bookmarkStart w:id="28" w:name="_Toc23327"/>
      <w:r>
        <w:rPr>
          <w:rFonts w:hint="eastAsia"/>
          <w:b/>
          <w:bCs/>
          <w:sz w:val="30"/>
          <w:szCs w:val="30"/>
          <w:lang w:val="en-US" w:eastAsia="zh-CN"/>
        </w:rPr>
        <w:t>6、开票注意事项：</w:t>
      </w:r>
      <w:bookmarkEnd w:id="28"/>
    </w:p>
    <w:p>
      <w:pPr>
        <w:numPr>
          <w:ilvl w:val="0"/>
          <w:numId w:val="0"/>
        </w:numPr>
        <w:rPr>
          <w:rFonts w:hint="default"/>
          <w:sz w:val="24"/>
          <w:szCs w:val="24"/>
          <w:lang w:val="en-US" w:eastAsia="zh-CN"/>
        </w:rPr>
      </w:pPr>
      <w:r>
        <w:rPr>
          <w:rFonts w:hint="eastAsia"/>
          <w:sz w:val="24"/>
          <w:szCs w:val="24"/>
          <w:lang w:val="en-US" w:eastAsia="zh-CN"/>
        </w:rPr>
        <w:t xml:space="preserve">    普票开具时候 有个选项为自然人“除特定业务外的普通发票，如受票方（发票抬头）为自然人，只需提供姓名或姓；如受票方（发票抬头）为自然人，并要求能将发票归集在个人票夹中展示，需提供姓名及身份证号；如受票方（发票抬头）为个体工商户，需提供社会统一信用代码或纳税人识别号，请勿勾选此标识。如您的姓名为张某某，可在名称栏次填写：张某某、张先生或张女士。”</w:t>
      </w:r>
    </w:p>
    <w:p>
      <w:pPr>
        <w:numPr>
          <w:ilvl w:val="0"/>
          <w:numId w:val="0"/>
        </w:numPr>
        <w:rPr>
          <w:rFonts w:hint="eastAsia"/>
          <w:sz w:val="24"/>
          <w:szCs w:val="24"/>
          <w:lang w:val="en-US" w:eastAsia="zh-CN"/>
        </w:rPr>
      </w:pPr>
      <w:r>
        <w:rPr>
          <w:rFonts w:hint="eastAsia"/>
          <w:sz w:val="24"/>
          <w:szCs w:val="24"/>
          <w:lang w:val="en-US" w:eastAsia="zh-CN"/>
        </w:rPr>
        <w:t xml:space="preserve">   开票额度不足的时候不能开票，需要去申请下载授信额度；票据号码使用完了，需要去申领发票；申领的话基本是秒到的。</w:t>
      </w:r>
    </w:p>
    <w:p>
      <w:pPr>
        <w:numPr>
          <w:ilvl w:val="0"/>
          <w:numId w:val="0"/>
        </w:numPr>
        <w:ind w:firstLine="480" w:firstLineChars="200"/>
        <w:rPr>
          <w:rFonts w:hint="eastAsia"/>
          <w:sz w:val="24"/>
          <w:szCs w:val="24"/>
          <w:lang w:val="en-US" w:eastAsia="zh-CN"/>
        </w:rPr>
      </w:pPr>
      <w:r>
        <w:rPr>
          <w:rFonts w:hint="eastAsia"/>
          <w:sz w:val="24"/>
          <w:szCs w:val="24"/>
          <w:lang w:val="en-US" w:eastAsia="zh-CN"/>
        </w:rPr>
        <w:t>应收票据页面的双击打开单据可以查询下载发票版式PDF；</w:t>
      </w:r>
    </w:p>
    <w:p>
      <w:pPr>
        <w:numPr>
          <w:ilvl w:val="0"/>
          <w:numId w:val="0"/>
        </w:numPr>
        <w:ind w:firstLine="480" w:firstLineChars="200"/>
        <w:rPr>
          <w:rFonts w:hint="default"/>
          <w:sz w:val="24"/>
          <w:szCs w:val="24"/>
          <w:lang w:val="en-US" w:eastAsia="zh-CN"/>
        </w:rPr>
      </w:pPr>
      <w:r>
        <w:rPr>
          <w:rFonts w:hint="eastAsia"/>
          <w:sz w:val="24"/>
          <w:szCs w:val="24"/>
          <w:lang w:val="en-US" w:eastAsia="zh-CN"/>
        </w:rPr>
        <w:t>开票后半小时内自动上传到电子税局，客户业主如果要验证简易1个小时后可以在电子税局进行验证发票真伪。如客户有急需验证，可以手动上传已开票据到电子税局。</w:t>
      </w:r>
    </w:p>
    <w:p>
      <w:pPr>
        <w:outlineLvl w:val="1"/>
        <w:rPr>
          <w:rFonts w:hint="default"/>
          <w:b/>
          <w:bCs/>
          <w:sz w:val="30"/>
          <w:szCs w:val="30"/>
          <w:lang w:val="en-US" w:eastAsia="zh-CN"/>
        </w:rPr>
      </w:pPr>
      <w:bookmarkStart w:id="29" w:name="_Toc6172"/>
      <w:r>
        <w:rPr>
          <w:rFonts w:hint="eastAsia"/>
          <w:b/>
          <w:bCs/>
          <w:sz w:val="30"/>
          <w:szCs w:val="30"/>
          <w:lang w:val="en-US" w:eastAsia="zh-CN"/>
        </w:rPr>
        <w:t>7、手动上传电子税局步骤：</w:t>
      </w:r>
      <w:bookmarkEnd w:id="29"/>
    </w:p>
    <w:p>
      <w:pPr>
        <w:numPr>
          <w:ilvl w:val="0"/>
          <w:numId w:val="0"/>
        </w:numPr>
        <w:ind w:firstLine="480" w:firstLineChars="200"/>
        <w:rPr>
          <w:rFonts w:hint="default"/>
          <w:sz w:val="24"/>
          <w:szCs w:val="24"/>
          <w:lang w:val="en-US" w:eastAsia="zh-CN"/>
        </w:rPr>
      </w:pPr>
      <w:r>
        <w:rPr>
          <w:rFonts w:hint="eastAsia"/>
          <w:sz w:val="24"/>
          <w:szCs w:val="24"/>
          <w:lang w:val="en-US" w:eastAsia="zh-CN"/>
        </w:rPr>
        <w:t>乐企开票 → 数电票上传 → 选择物业公司，选择未上传 列表里面选择 需要上传的票据，点击【上传】；在已上传页面，看到（有受理流水号的数）等待获取上传结果，选中，点击【获取上传结果】。（</w:t>
      </w:r>
      <w:r>
        <w:rPr>
          <w:rFonts w:hint="eastAsia"/>
          <w:color w:val="FF0000"/>
          <w:sz w:val="24"/>
          <w:szCs w:val="24"/>
          <w:lang w:val="en-US" w:eastAsia="zh-CN"/>
        </w:rPr>
        <w:t>一般情况下不需要此操作，系统每半小时会自动上传数据</w:t>
      </w:r>
      <w:r>
        <w:rPr>
          <w:rFonts w:hint="eastAsia"/>
          <w:sz w:val="24"/>
          <w:szCs w:val="24"/>
          <w:lang w:val="en-US" w:eastAsia="zh-CN"/>
        </w:rPr>
        <w:t>）</w:t>
      </w:r>
    </w:p>
    <w:p>
      <w:pPr>
        <w:outlineLvl w:val="1"/>
        <w:rPr>
          <w:rFonts w:hint="default"/>
          <w:b/>
          <w:bCs/>
          <w:sz w:val="30"/>
          <w:szCs w:val="30"/>
          <w:lang w:val="en-US" w:eastAsia="zh-CN"/>
        </w:rPr>
      </w:pPr>
      <w:bookmarkStart w:id="30" w:name="_Toc3494"/>
      <w:r>
        <w:rPr>
          <w:rFonts w:hint="eastAsia"/>
          <w:b/>
          <w:bCs/>
          <w:sz w:val="30"/>
          <w:szCs w:val="30"/>
          <w:lang w:val="en-US" w:eastAsia="zh-CN"/>
        </w:rPr>
        <w:t>8</w:t>
      </w:r>
      <w:r>
        <w:rPr>
          <w:rFonts w:hint="default"/>
          <w:b/>
          <w:bCs/>
          <w:sz w:val="30"/>
          <w:szCs w:val="30"/>
          <w:lang w:val="en-US" w:eastAsia="zh-CN"/>
        </w:rPr>
        <w:t>、</w:t>
      </w:r>
      <w:r>
        <w:rPr>
          <w:rFonts w:hint="eastAsia"/>
          <w:b/>
          <w:bCs/>
          <w:sz w:val="30"/>
          <w:szCs w:val="30"/>
          <w:lang w:val="en-US" w:eastAsia="zh-CN"/>
        </w:rPr>
        <w:t>发送版式文件：</w:t>
      </w:r>
      <w:bookmarkEnd w:id="30"/>
    </w:p>
    <w:p>
      <w:pPr>
        <w:widowControl w:val="0"/>
        <w:numPr>
          <w:ilvl w:val="0"/>
          <w:numId w:val="0"/>
        </w:numPr>
        <w:jc w:val="both"/>
        <w:rPr>
          <w:rFonts w:hint="eastAsia"/>
          <w:sz w:val="24"/>
          <w:szCs w:val="24"/>
          <w:lang w:val="en-US" w:eastAsia="zh-CN"/>
        </w:rPr>
      </w:pPr>
      <w:r>
        <w:rPr>
          <w:rFonts w:hint="eastAsia"/>
          <w:sz w:val="24"/>
          <w:szCs w:val="24"/>
          <w:lang w:val="en-US" w:eastAsia="zh-CN"/>
        </w:rPr>
        <w:t xml:space="preserve">   如有客户需要数电发票版式文件PDF格式电子文档的话，可以通过以下方式提供：</w:t>
      </w:r>
    </w:p>
    <w:p>
      <w:pPr>
        <w:widowControl w:val="0"/>
        <w:numPr>
          <w:ilvl w:val="0"/>
          <w:numId w:val="2"/>
        </w:numPr>
        <w:ind w:left="360" w:leftChars="0" w:firstLine="0" w:firstLineChars="0"/>
        <w:jc w:val="both"/>
        <w:rPr>
          <w:rFonts w:hint="eastAsia"/>
          <w:sz w:val="24"/>
          <w:szCs w:val="24"/>
          <w:lang w:val="en-US" w:eastAsia="zh-CN"/>
        </w:rPr>
      </w:pPr>
      <w:r>
        <w:rPr>
          <w:rFonts w:hint="eastAsia"/>
          <w:sz w:val="24"/>
          <w:szCs w:val="24"/>
          <w:lang w:val="en-US" w:eastAsia="zh-CN"/>
        </w:rPr>
        <w:t>直接打印：通过应收票据→ 双击打开对应乐企数电票→ 查询下载→ 打开打印；</w:t>
      </w:r>
    </w:p>
    <w:p>
      <w:pPr>
        <w:widowControl w:val="0"/>
        <w:numPr>
          <w:ilvl w:val="0"/>
          <w:numId w:val="2"/>
        </w:numPr>
        <w:ind w:left="360" w:leftChars="0" w:firstLine="0" w:firstLineChars="0"/>
        <w:jc w:val="both"/>
        <w:rPr>
          <w:rFonts w:hint="default"/>
          <w:sz w:val="24"/>
          <w:szCs w:val="24"/>
          <w:lang w:val="en-US" w:eastAsia="zh-CN"/>
        </w:rPr>
      </w:pPr>
      <w:r>
        <w:rPr>
          <w:rFonts w:hint="eastAsia"/>
          <w:sz w:val="24"/>
          <w:szCs w:val="24"/>
          <w:lang w:val="en-US" w:eastAsia="zh-CN"/>
        </w:rPr>
        <w:t>电子文件：通过应收票据→ 双击打开对应乐企数电票→ 发送短信→ 输入邮箱（或手机号）→ 通过电子邮箱发送（或手机短信发送）给业主</w:t>
      </w:r>
    </w:p>
    <w:p>
      <w:pPr>
        <w:widowControl w:val="0"/>
        <w:numPr>
          <w:ilvl w:val="0"/>
          <w:numId w:val="0"/>
        </w:numPr>
        <w:ind w:left="360" w:leftChars="0"/>
        <w:jc w:val="both"/>
        <w:rPr>
          <w:rFonts w:hint="default"/>
          <w:sz w:val="24"/>
          <w:szCs w:val="24"/>
          <w:lang w:val="en-US" w:eastAsia="zh-CN"/>
        </w:rPr>
      </w:pPr>
      <w:r>
        <w:drawing>
          <wp:inline distT="0" distB="0" distL="114300" distR="114300">
            <wp:extent cx="6182995" cy="2991485"/>
            <wp:effectExtent l="0" t="0" r="444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6182995" cy="2991485"/>
                    </a:xfrm>
                    <a:prstGeom prst="rect">
                      <a:avLst/>
                    </a:prstGeom>
                    <a:noFill/>
                    <a:ln>
                      <a:noFill/>
                    </a:ln>
                  </pic:spPr>
                </pic:pic>
              </a:graphicData>
            </a:graphic>
          </wp:inline>
        </w:drawing>
      </w:r>
    </w:p>
    <w:p>
      <w:pPr>
        <w:widowControl w:val="0"/>
        <w:numPr>
          <w:ilvl w:val="0"/>
          <w:numId w:val="2"/>
        </w:numPr>
        <w:ind w:left="360" w:leftChars="0" w:firstLine="0" w:firstLineChars="0"/>
        <w:jc w:val="both"/>
        <w:rPr>
          <w:rFonts w:hint="default"/>
          <w:sz w:val="24"/>
          <w:szCs w:val="24"/>
          <w:lang w:val="en-US" w:eastAsia="zh-CN"/>
        </w:rPr>
      </w:pPr>
      <w:r>
        <w:rPr>
          <w:rFonts w:hint="eastAsia"/>
          <w:sz w:val="24"/>
          <w:szCs w:val="24"/>
          <w:lang w:val="en-US" w:eastAsia="zh-CN"/>
        </w:rPr>
        <w:t>个税票夹：如果是个人用户（不是企业、个体工商户），开票时候提供姓名及身份证号，开完票后，业主客户可以直接个税APP的“办&amp;查”→“我的票夹”→进行查看打印或</w:t>
      </w:r>
    </w:p>
    <w:p>
      <w:pPr>
        <w:widowControl w:val="0"/>
        <w:numPr>
          <w:ilvl w:val="0"/>
          <w:numId w:val="0"/>
        </w:numPr>
        <w:jc w:val="both"/>
        <w:rPr>
          <w:rFonts w:hint="default"/>
          <w:lang w:val="en-US" w:eastAsia="zh-CN"/>
        </w:rPr>
      </w:pPr>
      <w:r>
        <w:drawing>
          <wp:inline distT="0" distB="0" distL="114300" distR="114300">
            <wp:extent cx="3057525" cy="6448425"/>
            <wp:effectExtent l="0" t="0" r="571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3"/>
                    <a:stretch>
                      <a:fillRect/>
                    </a:stretch>
                  </pic:blipFill>
                  <pic:spPr>
                    <a:xfrm>
                      <a:off x="0" y="0"/>
                      <a:ext cx="3057525" cy="6448425"/>
                    </a:xfrm>
                    <a:prstGeom prst="rect">
                      <a:avLst/>
                    </a:prstGeom>
                    <a:noFill/>
                    <a:ln>
                      <a:noFill/>
                    </a:ln>
                  </pic:spPr>
                </pic:pic>
              </a:graphicData>
            </a:graphic>
          </wp:inline>
        </w:drawing>
      </w:r>
      <w:r>
        <w:drawing>
          <wp:inline distT="0" distB="0" distL="114300" distR="114300">
            <wp:extent cx="2971800" cy="6381750"/>
            <wp:effectExtent l="0" t="0" r="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4"/>
                    <a:stretch>
                      <a:fillRect/>
                    </a:stretch>
                  </pic:blipFill>
                  <pic:spPr>
                    <a:xfrm>
                      <a:off x="0" y="0"/>
                      <a:ext cx="2971800" cy="6381750"/>
                    </a:xfrm>
                    <a:prstGeom prst="rect">
                      <a:avLst/>
                    </a:prstGeom>
                    <a:noFill/>
                    <a:ln>
                      <a:noFill/>
                    </a:ln>
                  </pic:spPr>
                </pic:pic>
              </a:graphicData>
            </a:graphic>
          </wp:inline>
        </w:drawing>
      </w:r>
    </w:p>
    <w:p>
      <w:pPr>
        <w:numPr>
          <w:ilvl w:val="0"/>
          <w:numId w:val="0"/>
        </w:numPr>
        <w:rPr>
          <w:rFonts w:hint="default"/>
          <w:sz w:val="24"/>
          <w:szCs w:val="24"/>
          <w:lang w:val="en-US" w:eastAsia="zh-CN"/>
        </w:rPr>
      </w:pPr>
      <w:r>
        <w:rPr>
          <w:rFonts w:hint="default" w:asciiTheme="minorHAnsi" w:hAnsiTheme="minorHAnsi" w:eastAsiaTheme="minorEastAsia" w:cstheme="minorBidi"/>
          <w:kern w:val="2"/>
          <w:sz w:val="24"/>
          <w:szCs w:val="24"/>
          <w:lang w:val="en-US" w:eastAsia="zh-CN" w:bidi="ar-SA"/>
        </w:rPr>
        <w:t>4、</w:t>
      </w:r>
    </w:p>
    <w:p>
      <w:pPr>
        <w:rPr>
          <w:rFonts w:hint="default"/>
          <w:lang w:val="en-US" w:eastAsia="zh-CN"/>
        </w:rPr>
      </w:pPr>
      <w:r>
        <w:rPr>
          <w:rFonts w:hint="default"/>
          <w:lang w:val="en-US" w:eastAsia="zh-CN"/>
        </w:rPr>
        <w:br w:type="page"/>
      </w:r>
    </w:p>
    <w:p>
      <w:pPr>
        <w:jc w:val="center"/>
        <w:rPr>
          <w:rFonts w:hint="eastAsia" w:ascii="微软雅黑" w:hAnsi="微软雅黑" w:eastAsia="微软雅黑" w:cs="微软雅黑"/>
          <w:kern w:val="2"/>
          <w:sz w:val="21"/>
          <w:szCs w:val="48"/>
          <w:lang w:val="en-US" w:eastAsia="zh-CN" w:bidi="ar-SA"/>
        </w:rPr>
      </w:pPr>
    </w:p>
    <w:p>
      <w:pPr>
        <w:jc w:val="center"/>
        <w:outlineLvl w:val="0"/>
        <w:rPr>
          <w:rFonts w:hint="eastAsia" w:ascii="微软雅黑" w:hAnsi="微软雅黑" w:eastAsia="微软雅黑" w:cs="微软雅黑"/>
          <w:b w:val="0"/>
          <w:bCs w:val="0"/>
          <w:sz w:val="48"/>
          <w:szCs w:val="48"/>
          <w:lang w:val="en-US" w:eastAsia="zh-CN"/>
        </w:rPr>
      </w:pPr>
      <w:bookmarkStart w:id="31" w:name="_Toc17465"/>
      <w:r>
        <w:rPr>
          <w:rFonts w:hint="eastAsia" w:ascii="微软雅黑" w:hAnsi="微软雅黑" w:eastAsia="微软雅黑" w:cs="微软雅黑"/>
          <w:b w:val="0"/>
          <w:bCs w:val="0"/>
          <w:sz w:val="48"/>
          <w:szCs w:val="48"/>
          <w:lang w:val="en-US" w:eastAsia="zh-CN"/>
        </w:rPr>
        <w:t>通  知</w:t>
      </w:r>
      <w:bookmarkEnd w:id="31"/>
    </w:p>
    <w:p>
      <w:pPr>
        <w:jc w:val="center"/>
        <w:rPr>
          <w:rFonts w:hint="eastAsia"/>
          <w:sz w:val="48"/>
          <w:szCs w:val="48"/>
          <w:lang w:val="en-US" w:eastAsia="zh-CN"/>
        </w:rPr>
      </w:pPr>
    </w:p>
    <w:p>
      <w:pPr>
        <w:rPr>
          <w:rFonts w:hint="eastAsia" w:ascii="微软雅黑" w:hAnsi="微软雅黑" w:eastAsia="微软雅黑" w:cs="微软雅黑"/>
          <w:sz w:val="28"/>
          <w:szCs w:val="28"/>
          <w:u w:val="single"/>
          <w:lang w:val="en-US" w:eastAsia="zh-CN"/>
        </w:rPr>
      </w:pPr>
      <w:r>
        <w:rPr>
          <w:rFonts w:hint="eastAsia" w:ascii="微软雅黑" w:hAnsi="微软雅黑" w:eastAsia="微软雅黑" w:cs="微软雅黑"/>
          <w:sz w:val="28"/>
          <w:szCs w:val="28"/>
          <w:lang w:val="en-US" w:eastAsia="zh-CN"/>
        </w:rPr>
        <w:t>致：</w:t>
      </w:r>
      <w:r>
        <w:rPr>
          <w:rFonts w:hint="eastAsia" w:ascii="微软雅黑" w:hAnsi="微软雅黑" w:eastAsia="微软雅黑" w:cs="微软雅黑"/>
          <w:sz w:val="28"/>
          <w:szCs w:val="28"/>
          <w:u w:val="single"/>
          <w:lang w:val="en-US" w:eastAsia="zh-CN"/>
        </w:rPr>
        <w:t>xx物业管理公司</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贵单位申请的国税乐企开票平台（数电票）能力已经通过国家总局审核，请向主体单位所在区域的税务局做接入申请，成为乐企联用单位。</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p>
    <w:p>
      <w:pPr>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国家税务局乐企联用试点单位：</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厦门领航互联信息技术有限公司</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日期：2024年3月21日</w:t>
      </w:r>
    </w:p>
    <w:p>
      <w:pPr>
        <w:rPr>
          <w:rFonts w:hint="eastAsia" w:ascii="微软雅黑" w:hAnsi="微软雅黑" w:eastAsia="微软雅黑" w:cs="微软雅黑"/>
          <w:sz w:val="28"/>
          <w:szCs w:val="28"/>
          <w:lang w:val="en-US" w:eastAsia="zh-CN"/>
        </w:rPr>
      </w:pPr>
    </w:p>
    <w:p>
      <w:pPr>
        <w:rPr>
          <w:rFonts w:hint="eastAsia" w:ascii="微软雅黑" w:hAnsi="微软雅黑" w:eastAsia="微软雅黑" w:cs="微软雅黑"/>
          <w:sz w:val="28"/>
          <w:szCs w:val="28"/>
          <w:lang w:val="en-US" w:eastAsia="zh-CN"/>
        </w:rPr>
      </w:pPr>
    </w:p>
    <w:p>
      <w:pPr>
        <w:rPr>
          <w:rFonts w:hint="eastAsia" w:ascii="微软雅黑" w:hAnsi="微软雅黑" w:eastAsia="微软雅黑" w:cs="微软雅黑"/>
          <w:sz w:val="28"/>
          <w:szCs w:val="28"/>
          <w:lang w:val="en-US" w:eastAsia="zh-CN"/>
        </w:rPr>
      </w:pPr>
    </w:p>
    <w:p>
      <w:pPr>
        <w:rPr>
          <w:rFonts w:hint="eastAsia" w:ascii="微软雅黑" w:hAnsi="微软雅黑" w:eastAsia="微软雅黑" w:cs="微软雅黑"/>
          <w:sz w:val="28"/>
          <w:szCs w:val="28"/>
          <w:lang w:val="en-US" w:eastAsia="zh-CN"/>
        </w:rPr>
      </w:pPr>
    </w:p>
    <w:p>
      <w:pPr>
        <w:rPr>
          <w:rFonts w:hint="eastAsia" w:ascii="微软雅黑" w:hAnsi="微软雅黑" w:eastAsia="微软雅黑" w:cs="微软雅黑"/>
          <w:sz w:val="28"/>
          <w:szCs w:val="28"/>
          <w:lang w:val="en-US" w:eastAsia="zh-CN"/>
        </w:rPr>
      </w:pP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附件说明：</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申请流程及递交材料（参考厦门市思明区税局）：</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1、申请流程：</w:t>
      </w: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"乐企申请流程" </w:instrText>
      </w:r>
      <w:r>
        <w:rPr>
          <w:rFonts w:hint="eastAsia" w:ascii="微软雅黑" w:hAnsi="微软雅黑" w:eastAsia="微软雅黑" w:cs="微软雅黑"/>
          <w:sz w:val="28"/>
          <w:szCs w:val="28"/>
          <w:lang w:val="en-US" w:eastAsia="zh-CN"/>
        </w:rPr>
        <w:fldChar w:fldCharType="separate"/>
      </w:r>
      <w:r>
        <w:rPr>
          <w:rStyle w:val="7"/>
          <w:rFonts w:hint="eastAsia" w:ascii="微软雅黑" w:hAnsi="微软雅黑" w:eastAsia="微软雅黑" w:cs="微软雅黑"/>
          <w:sz w:val="28"/>
          <w:szCs w:val="28"/>
          <w:lang w:val="en-US" w:eastAsia="zh-CN"/>
        </w:rPr>
        <w:t>乐</w:t>
      </w:r>
      <w:r>
        <w:rPr>
          <w:rStyle w:val="7"/>
          <w:rFonts w:hint="eastAsia" w:ascii="微软雅黑" w:hAnsi="微软雅黑" w:eastAsia="微软雅黑" w:cs="微软雅黑"/>
          <w:sz w:val="28"/>
          <w:szCs w:val="28"/>
          <w:lang w:val="en-US" w:eastAsia="zh-CN"/>
        </w:rPr>
        <w:t>企联用开票申请流程</w:t>
      </w:r>
      <w:r>
        <w:rPr>
          <w:rFonts w:hint="eastAsia" w:ascii="微软雅黑" w:hAnsi="微软雅黑" w:eastAsia="微软雅黑" w:cs="微软雅黑"/>
          <w:sz w:val="28"/>
          <w:szCs w:val="28"/>
          <w:lang w:val="en-US" w:eastAsia="zh-CN"/>
        </w:rPr>
        <w:fldChar w:fldCharType="end"/>
      </w:r>
    </w:p>
    <w:p>
      <w:pPr>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2、初始化配置：</w:t>
      </w: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"乐企初始化配置" </w:instrText>
      </w:r>
      <w:r>
        <w:rPr>
          <w:rFonts w:hint="eastAsia" w:ascii="微软雅黑" w:hAnsi="微软雅黑" w:eastAsia="微软雅黑" w:cs="微软雅黑"/>
          <w:sz w:val="28"/>
          <w:szCs w:val="28"/>
          <w:lang w:val="en-US" w:eastAsia="zh-CN"/>
        </w:rPr>
        <w:fldChar w:fldCharType="separate"/>
      </w:r>
      <w:r>
        <w:rPr>
          <w:rStyle w:val="8"/>
          <w:rFonts w:hint="eastAsia" w:ascii="微软雅黑" w:hAnsi="微软雅黑" w:eastAsia="微软雅黑" w:cs="微软雅黑"/>
          <w:sz w:val="28"/>
          <w:szCs w:val="28"/>
          <w:lang w:val="en-US" w:eastAsia="zh-CN"/>
        </w:rPr>
        <w:t>乐</w:t>
      </w:r>
      <w:r>
        <w:rPr>
          <w:rStyle w:val="8"/>
          <w:rFonts w:hint="eastAsia" w:ascii="微软雅黑" w:hAnsi="微软雅黑" w:eastAsia="微软雅黑" w:cs="微软雅黑"/>
          <w:sz w:val="28"/>
          <w:szCs w:val="28"/>
          <w:lang w:val="en-US" w:eastAsia="zh-CN"/>
        </w:rPr>
        <w:t>企联用开票初始化配置</w:t>
      </w:r>
      <w:r>
        <w:rPr>
          <w:rFonts w:hint="eastAsia" w:ascii="微软雅黑" w:hAnsi="微软雅黑" w:eastAsia="微软雅黑" w:cs="微软雅黑"/>
          <w:sz w:val="28"/>
          <w:szCs w:val="28"/>
          <w:lang w:val="en-US" w:eastAsia="zh-CN"/>
        </w:rPr>
        <w:fldChar w:fldCharType="end"/>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3、递交材料：公司名称、税号、情况说明表（见附件1 需双方公司盖章）、合同复印件。</w:t>
      </w:r>
    </w:p>
    <w:p>
      <w:pPr>
        <w:rPr>
          <w:rFonts w:hint="eastAsia"/>
          <w:sz w:val="28"/>
          <w:szCs w:val="28"/>
          <w:lang w:val="en-US" w:eastAsia="zh-CN"/>
        </w:rPr>
      </w:pPr>
    </w:p>
    <w:p>
      <w:pPr>
        <w:rPr>
          <w:rFonts w:hint="default"/>
          <w:sz w:val="28"/>
          <w:szCs w:val="28"/>
          <w:lang w:val="en-US" w:eastAsia="zh-CN"/>
        </w:rPr>
      </w:pPr>
      <w:r>
        <w:rPr>
          <w:rFonts w:hint="eastAsia"/>
          <w:sz w:val="28"/>
          <w:szCs w:val="28"/>
          <w:lang w:val="en-US" w:eastAsia="zh-CN"/>
        </w:rPr>
        <w:t>附件1、</w:t>
      </w:r>
    </w:p>
    <w:p>
      <w:pPr>
        <w:rPr>
          <w:rFonts w:hint="eastAsia"/>
          <w:sz w:val="28"/>
          <w:szCs w:val="28"/>
          <w:lang w:val="en-US" w:eastAsia="zh-CN"/>
        </w:rPr>
      </w:pPr>
    </w:p>
    <w:p>
      <w:pPr>
        <w:jc w:val="center"/>
        <w:outlineLvl w:val="0"/>
        <w:rPr>
          <w:rFonts w:hint="eastAsia" w:ascii="微软雅黑" w:hAnsi="微软雅黑" w:eastAsia="微软雅黑"/>
          <w:color w:val="000000"/>
          <w:sz w:val="28"/>
          <w:szCs w:val="28"/>
          <w:u w:val="single"/>
          <w:lang w:eastAsia="zh-CN"/>
        </w:rPr>
      </w:pPr>
      <w:bookmarkStart w:id="32" w:name="_Toc17627"/>
      <w:r>
        <w:rPr>
          <w:rFonts w:hint="eastAsia" w:ascii="微软雅黑" w:hAnsi="微软雅黑" w:eastAsia="微软雅黑"/>
          <w:color w:val="000000"/>
          <w:sz w:val="48"/>
          <w:szCs w:val="48"/>
          <w:u w:val="none"/>
          <w:lang w:eastAsia="zh-CN"/>
        </w:rPr>
        <w:t>情况说明表</w:t>
      </w:r>
      <w:bookmarkEnd w:id="32"/>
    </w:p>
    <w:p>
      <w:pPr>
        <w:rPr>
          <w:rFonts w:hint="default" w:ascii="微软雅黑" w:hAnsi="微软雅黑" w:eastAsia="微软雅黑"/>
          <w:color w:val="000000"/>
          <w:sz w:val="28"/>
          <w:szCs w:val="28"/>
          <w:lang w:val="en-US" w:eastAsia="zh-CN"/>
        </w:rPr>
      </w:pPr>
      <w:r>
        <w:rPr>
          <w:rFonts w:hint="eastAsia" w:ascii="微软雅黑" w:hAnsi="微软雅黑" w:eastAsia="微软雅黑"/>
          <w:color w:val="000000"/>
          <w:sz w:val="28"/>
          <w:szCs w:val="28"/>
          <w:lang w:eastAsia="zh-CN"/>
        </w:rPr>
        <w:t>致：国家税务总局</w:t>
      </w:r>
      <w:r>
        <w:rPr>
          <w:rFonts w:hint="eastAsia" w:ascii="微软雅黑" w:hAnsi="微软雅黑" w:eastAsia="微软雅黑"/>
          <w:color w:val="000000"/>
          <w:sz w:val="28"/>
          <w:szCs w:val="28"/>
          <w:lang w:val="en-US" w:eastAsia="zh-CN"/>
        </w:rPr>
        <w:t>XXXX</w:t>
      </w:r>
      <w:r>
        <w:rPr>
          <w:rFonts w:hint="eastAsia" w:ascii="微软雅黑" w:hAnsi="微软雅黑" w:eastAsia="微软雅黑"/>
          <w:color w:val="000000"/>
          <w:sz w:val="28"/>
          <w:szCs w:val="28"/>
          <w:lang w:eastAsia="zh-CN"/>
        </w:rPr>
        <w:t>税务局</w:t>
      </w:r>
    </w:p>
    <w:p>
      <w:pPr>
        <w:ind w:firstLine="560" w:firstLineChars="200"/>
        <w:rPr>
          <w:rFonts w:hint="eastAsia" w:ascii="微软雅黑" w:hAnsi="微软雅黑" w:eastAsia="微软雅黑"/>
          <w:color w:val="000000"/>
          <w:sz w:val="28"/>
          <w:szCs w:val="28"/>
          <w:lang w:eastAsia="zh-CN"/>
        </w:rPr>
      </w:pPr>
      <w:r>
        <w:rPr>
          <w:rFonts w:hint="eastAsia" w:ascii="微软雅黑" w:hAnsi="微软雅黑" w:eastAsia="微软雅黑"/>
          <w:color w:val="000000"/>
          <w:sz w:val="28"/>
          <w:szCs w:val="28"/>
          <w:lang w:val="en-US" w:eastAsia="zh-CN"/>
        </w:rPr>
        <w:t>XXXXX</w:t>
      </w:r>
      <w:r>
        <w:rPr>
          <w:rFonts w:hint="eastAsia" w:ascii="微软雅黑" w:hAnsi="微软雅黑" w:eastAsia="微软雅黑"/>
          <w:color w:val="000000"/>
          <w:sz w:val="28"/>
          <w:szCs w:val="28"/>
          <w:lang w:eastAsia="zh-CN"/>
        </w:rPr>
        <w:t>物业服务有限公司从</w:t>
      </w:r>
      <w:r>
        <w:rPr>
          <w:rFonts w:hint="eastAsia" w:ascii="微软雅黑" w:hAnsi="微软雅黑" w:eastAsia="微软雅黑"/>
          <w:color w:val="000000"/>
          <w:sz w:val="28"/>
          <w:szCs w:val="28"/>
          <w:lang w:val="en-US" w:eastAsia="zh-CN"/>
        </w:rPr>
        <w:t>XXX年开始</w:t>
      </w:r>
      <w:r>
        <w:rPr>
          <w:rFonts w:hint="eastAsia" w:ascii="微软雅黑" w:hAnsi="微软雅黑" w:eastAsia="微软雅黑"/>
          <w:color w:val="000000"/>
          <w:sz w:val="28"/>
          <w:szCs w:val="28"/>
          <w:lang w:eastAsia="zh-CN"/>
        </w:rPr>
        <w:t>使用厦门领航互联信息技术有限公司自主研发的数字物业云服务软件系统平台。主要用于住宅小区、商办写字楼、办公园区、工业园区等收费管理系统：如常规费用、水电公摊等费用核算、收款管理、各种报表统计、线上缴费、票据打印等功能。</w:t>
      </w:r>
    </w:p>
    <w:p>
      <w:pPr>
        <w:ind w:firstLine="560" w:firstLineChars="200"/>
        <w:rPr>
          <w:rFonts w:hint="eastAsia" w:ascii="微软雅黑" w:hAnsi="微软雅黑" w:eastAsia="微软雅黑"/>
          <w:color w:val="000000"/>
          <w:sz w:val="28"/>
          <w:szCs w:val="28"/>
          <w:lang w:val="en-US" w:eastAsia="zh-CN"/>
        </w:rPr>
      </w:pPr>
      <w:r>
        <w:rPr>
          <w:rFonts w:hint="eastAsia" w:ascii="微软雅黑" w:hAnsi="微软雅黑" w:eastAsia="微软雅黑"/>
          <w:color w:val="000000"/>
          <w:sz w:val="28"/>
          <w:szCs w:val="28"/>
          <w:lang w:val="en-US" w:eastAsia="zh-CN"/>
        </w:rPr>
        <w:t>厦门领航互联信息技术有限公司作为系统平台的开发者，为保障系统平台的稳定运营以及保障数据的安全管理，我司除了硬件方面的安全建设，核心数据放到阿里云做专业托管。日常的技术支撑、数据维护、售后服务有专门的售后工程师负责维护等</w:t>
      </w:r>
    </w:p>
    <w:p>
      <w:pPr>
        <w:ind w:firstLine="560" w:firstLineChars="200"/>
        <w:rPr>
          <w:rFonts w:hint="eastAsia" w:ascii="微软雅黑" w:hAnsi="微软雅黑" w:eastAsia="微软雅黑"/>
          <w:color w:val="000000"/>
          <w:sz w:val="28"/>
          <w:szCs w:val="28"/>
          <w:lang w:val="en-US" w:eastAsia="zh-CN"/>
        </w:rPr>
      </w:pPr>
      <w:r>
        <w:rPr>
          <w:rFonts w:hint="eastAsia" w:ascii="微软雅黑" w:hAnsi="微软雅黑" w:eastAsia="微软雅黑"/>
          <w:color w:val="000000"/>
          <w:sz w:val="28"/>
          <w:szCs w:val="28"/>
          <w:lang w:eastAsia="zh-CN"/>
        </w:rPr>
        <w:t>厦门领航互联信息技术有限公司</w:t>
      </w:r>
      <w:r>
        <w:rPr>
          <w:rFonts w:hint="eastAsia" w:ascii="微软雅黑" w:hAnsi="微软雅黑" w:eastAsia="微软雅黑"/>
          <w:color w:val="000000"/>
          <w:sz w:val="28"/>
          <w:szCs w:val="28"/>
          <w:lang w:val="en-US" w:eastAsia="zh-CN"/>
        </w:rPr>
        <w:t>作为联用的直连单位接入乐企，申请XXXXX</w:t>
      </w:r>
      <w:r>
        <w:rPr>
          <w:rFonts w:hint="eastAsia" w:ascii="微软雅黑" w:hAnsi="微软雅黑" w:eastAsia="微软雅黑"/>
          <w:color w:val="000000"/>
          <w:sz w:val="28"/>
          <w:szCs w:val="28"/>
          <w:lang w:eastAsia="zh-CN"/>
        </w:rPr>
        <w:t>物业服务有限公司</w:t>
      </w:r>
      <w:r>
        <w:rPr>
          <w:rFonts w:hint="eastAsia" w:ascii="微软雅黑" w:hAnsi="微软雅黑" w:eastAsia="微软雅黑"/>
          <w:color w:val="000000"/>
          <w:sz w:val="28"/>
          <w:szCs w:val="28"/>
          <w:lang w:val="en-US" w:eastAsia="zh-CN"/>
        </w:rPr>
        <w:t>作为我们的使用单位接入，请求税局支持。</w:t>
      </w:r>
    </w:p>
    <w:p>
      <w:pPr>
        <w:ind w:firstLine="560" w:firstLineChars="200"/>
        <w:rPr>
          <w:rFonts w:hint="default" w:ascii="微软雅黑" w:hAnsi="微软雅黑" w:eastAsia="微软雅黑"/>
          <w:color w:val="auto"/>
          <w:sz w:val="28"/>
          <w:szCs w:val="28"/>
          <w:lang w:val="en-US" w:eastAsia="zh-CN"/>
        </w:rPr>
      </w:pPr>
      <w:r>
        <w:rPr>
          <w:rFonts w:hint="eastAsia" w:ascii="微软雅黑" w:hAnsi="微软雅黑" w:eastAsia="微软雅黑"/>
          <w:color w:val="FF0000"/>
          <w:sz w:val="28"/>
          <w:szCs w:val="28"/>
          <w:lang w:val="en-US" w:eastAsia="zh-CN"/>
        </w:rPr>
        <w:t xml:space="preserve"> </w:t>
      </w:r>
    </w:p>
    <w:p>
      <w:pPr>
        <w:ind w:firstLine="560" w:firstLineChars="200"/>
        <w:rPr>
          <w:rFonts w:hint="eastAsia" w:ascii="微软雅黑" w:hAnsi="微软雅黑" w:eastAsia="微软雅黑"/>
          <w:color w:val="000000"/>
          <w:sz w:val="28"/>
          <w:szCs w:val="28"/>
          <w:lang w:val="en-US" w:eastAsia="zh-CN"/>
        </w:rPr>
      </w:pPr>
    </w:p>
    <w:p>
      <w:pPr>
        <w:rPr>
          <w:rFonts w:hint="eastAsia" w:ascii="微软雅黑" w:hAnsi="微软雅黑" w:eastAsia="微软雅黑"/>
          <w:color w:val="000000"/>
          <w:sz w:val="28"/>
          <w:szCs w:val="28"/>
          <w:lang w:val="en-US" w:eastAsia="zh-CN"/>
        </w:rPr>
      </w:pPr>
    </w:p>
    <w:p>
      <w:pPr>
        <w:ind w:left="6720" w:hanging="6048" w:hangingChars="2400"/>
        <w:rPr>
          <w:rFonts w:hint="eastAsia" w:ascii="微软雅黑" w:hAnsi="微软雅黑" w:eastAsia="微软雅黑"/>
          <w:color w:val="000000"/>
          <w:w w:val="90"/>
          <w:sz w:val="28"/>
          <w:szCs w:val="28"/>
          <w:lang w:eastAsia="zh-CN"/>
        </w:rPr>
      </w:pPr>
      <w:r>
        <w:rPr>
          <w:rFonts w:hint="eastAsia" w:ascii="微软雅黑" w:hAnsi="微软雅黑" w:eastAsia="微软雅黑"/>
          <w:color w:val="000000"/>
          <w:w w:val="90"/>
          <w:sz w:val="28"/>
          <w:szCs w:val="28"/>
          <w:lang w:val="en-US" w:eastAsia="zh-CN"/>
        </w:rPr>
        <w:t>单位：</w:t>
      </w:r>
      <w:r>
        <w:rPr>
          <w:rFonts w:hint="eastAsia" w:ascii="微软雅黑" w:hAnsi="微软雅黑" w:eastAsia="微软雅黑"/>
          <w:color w:val="000000"/>
          <w:sz w:val="28"/>
          <w:szCs w:val="28"/>
          <w:lang w:val="en-US" w:eastAsia="zh-CN"/>
        </w:rPr>
        <w:t>XXXXX</w:t>
      </w:r>
      <w:r>
        <w:rPr>
          <w:rFonts w:hint="eastAsia" w:ascii="微软雅黑" w:hAnsi="微软雅黑" w:eastAsia="微软雅黑"/>
          <w:color w:val="000000"/>
          <w:sz w:val="28"/>
          <w:szCs w:val="28"/>
          <w:lang w:eastAsia="zh-CN"/>
        </w:rPr>
        <w:t>物业服务有限公司</w:t>
      </w:r>
      <w:r>
        <w:rPr>
          <w:rFonts w:hint="eastAsia" w:ascii="微软雅黑" w:hAnsi="微软雅黑" w:eastAsia="微软雅黑"/>
          <w:color w:val="000000"/>
          <w:w w:val="90"/>
          <w:sz w:val="28"/>
          <w:szCs w:val="28"/>
          <w:lang w:val="en-US" w:eastAsia="zh-CN"/>
        </w:rPr>
        <w:t xml:space="preserve">            单位:</w:t>
      </w:r>
      <w:r>
        <w:rPr>
          <w:rFonts w:hint="eastAsia" w:ascii="微软雅黑" w:hAnsi="微软雅黑" w:eastAsia="微软雅黑"/>
          <w:color w:val="000000"/>
          <w:w w:val="90"/>
          <w:sz w:val="28"/>
          <w:szCs w:val="28"/>
          <w:lang w:eastAsia="zh-CN"/>
        </w:rPr>
        <w:t>厦门领航互联信息技术有限公司</w:t>
      </w:r>
    </w:p>
    <w:p>
      <w:pPr>
        <w:rPr>
          <w:rFonts w:hint="default" w:ascii="微软雅黑" w:hAnsi="微软雅黑" w:eastAsia="微软雅黑"/>
          <w:color w:val="000000"/>
          <w:sz w:val="28"/>
          <w:szCs w:val="28"/>
          <w:lang w:val="en-US" w:eastAsia="zh-CN"/>
        </w:rPr>
      </w:pPr>
      <w:r>
        <w:rPr>
          <w:rFonts w:hint="eastAsia" w:ascii="微软雅黑" w:hAnsi="微软雅黑" w:eastAsia="微软雅黑"/>
          <w:color w:val="000000"/>
          <w:sz w:val="28"/>
          <w:szCs w:val="28"/>
          <w:lang w:val="en-US" w:eastAsia="zh-CN"/>
        </w:rPr>
        <w:t>盖章：                                  盖章：</w:t>
      </w:r>
    </w:p>
    <w:p>
      <w:pPr>
        <w:rPr>
          <w:rFonts w:hint="default"/>
          <w:sz w:val="28"/>
          <w:szCs w:val="28"/>
          <w:lang w:val="en-US" w:eastAsia="zh-CN"/>
        </w:rPr>
      </w:pPr>
      <w:r>
        <w:rPr>
          <w:rFonts w:hint="eastAsia" w:ascii="微软雅黑" w:hAnsi="微软雅黑" w:eastAsia="微软雅黑"/>
          <w:color w:val="000000"/>
          <w:sz w:val="28"/>
          <w:szCs w:val="28"/>
          <w:lang w:eastAsia="zh-CN"/>
        </w:rPr>
        <w:t>日期：</w:t>
      </w:r>
      <w:r>
        <w:rPr>
          <w:rFonts w:hint="eastAsia" w:ascii="微软雅黑" w:hAnsi="微软雅黑" w:eastAsia="微软雅黑"/>
          <w:color w:val="000000"/>
          <w:sz w:val="28"/>
          <w:szCs w:val="28"/>
          <w:lang w:val="en-US" w:eastAsia="zh-CN"/>
        </w:rPr>
        <w:t xml:space="preserve">2024年3月21日                 </w:t>
      </w:r>
      <w:r>
        <w:rPr>
          <w:rFonts w:hint="eastAsia" w:ascii="微软雅黑" w:hAnsi="微软雅黑" w:eastAsia="微软雅黑"/>
          <w:color w:val="000000"/>
          <w:sz w:val="28"/>
          <w:szCs w:val="28"/>
          <w:lang w:eastAsia="zh-CN"/>
        </w:rPr>
        <w:t>日期：</w:t>
      </w:r>
      <w:r>
        <w:rPr>
          <w:rFonts w:hint="eastAsia" w:ascii="微软雅黑" w:hAnsi="微软雅黑" w:eastAsia="微软雅黑"/>
          <w:color w:val="000000"/>
          <w:sz w:val="28"/>
          <w:szCs w:val="28"/>
          <w:lang w:val="en-US" w:eastAsia="zh-CN"/>
        </w:rPr>
        <w:t>2024年3月21日</w:t>
      </w:r>
    </w:p>
    <w:sectPr>
      <w:pgSz w:w="11906" w:h="16838"/>
      <w:pgMar w:top="1440" w:right="1123" w:bottom="1440" w:left="112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739DAF"/>
    <w:multiLevelType w:val="singleLevel"/>
    <w:tmpl w:val="DF739DAF"/>
    <w:lvl w:ilvl="0" w:tentative="0">
      <w:start w:val="1"/>
      <w:numFmt w:val="decimal"/>
      <w:suff w:val="nothing"/>
      <w:lvlText w:val="%1）"/>
      <w:lvlJc w:val="left"/>
    </w:lvl>
  </w:abstractNum>
  <w:abstractNum w:abstractNumId="1">
    <w:nsid w:val="560652E9"/>
    <w:multiLevelType w:val="singleLevel"/>
    <w:tmpl w:val="560652E9"/>
    <w:lvl w:ilvl="0" w:tentative="0">
      <w:start w:val="1"/>
      <w:numFmt w:val="lowerLetter"/>
      <w:lvlText w:val="%1."/>
      <w:lvlJc w:val="left"/>
      <w:pPr>
        <w:tabs>
          <w:tab w:val="left" w:pos="312"/>
        </w:tabs>
        <w:ind w:left="360"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2YWIwZjg1NTc0YTNmNjdjNWNlMzgwZDdlY2Q2MWIifQ=="/>
  </w:docVars>
  <w:rsids>
    <w:rsidRoot w:val="00172A27"/>
    <w:rsid w:val="06B74B35"/>
    <w:rsid w:val="08844E22"/>
    <w:rsid w:val="08A94889"/>
    <w:rsid w:val="0DAD2350"/>
    <w:rsid w:val="0F31382A"/>
    <w:rsid w:val="10563548"/>
    <w:rsid w:val="132F270C"/>
    <w:rsid w:val="14C34135"/>
    <w:rsid w:val="19EA2F53"/>
    <w:rsid w:val="1AD07662"/>
    <w:rsid w:val="1D372BD9"/>
    <w:rsid w:val="243948BB"/>
    <w:rsid w:val="2BF81500"/>
    <w:rsid w:val="2EBC05C2"/>
    <w:rsid w:val="2F1321AD"/>
    <w:rsid w:val="324C4C67"/>
    <w:rsid w:val="35527ED3"/>
    <w:rsid w:val="38064DE3"/>
    <w:rsid w:val="3AE27502"/>
    <w:rsid w:val="3B1000D1"/>
    <w:rsid w:val="3B253993"/>
    <w:rsid w:val="454964D0"/>
    <w:rsid w:val="48541414"/>
    <w:rsid w:val="488751C2"/>
    <w:rsid w:val="49E862B8"/>
    <w:rsid w:val="4C575977"/>
    <w:rsid w:val="53560736"/>
    <w:rsid w:val="56EB73E7"/>
    <w:rsid w:val="57782801"/>
    <w:rsid w:val="577C57A3"/>
    <w:rsid w:val="58727DC0"/>
    <w:rsid w:val="64E71003"/>
    <w:rsid w:val="65D025CA"/>
    <w:rsid w:val="65F74ED9"/>
    <w:rsid w:val="68480F25"/>
    <w:rsid w:val="73E55492"/>
    <w:rsid w:val="75A4312B"/>
    <w:rsid w:val="77106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uiPriority w:val="0"/>
    <w:rPr>
      <w:color w:val="800080"/>
      <w:u w:val="single"/>
    </w:rPr>
  </w:style>
  <w:style w:type="character" w:styleId="8">
    <w:name w:val="Hyperlink"/>
    <w:basedOn w:val="6"/>
    <w:uiPriority w:val="0"/>
    <w:rPr>
      <w:color w:val="0000FF"/>
      <w:u w:val="single"/>
    </w:rPr>
  </w:style>
  <w:style w:type="paragraph" w:customStyle="1" w:styleId="9">
    <w:name w:val="分类号"/>
    <w:basedOn w:val="1"/>
    <w:qFormat/>
    <w:uiPriority w:val="0"/>
    <w:rPr>
      <w:rFonts w:ascii="仿宋_GB2312" w:hAnsi="Times New Roman" w:eastAsia="仿宋_GB2312" w:cs="Times New Roman"/>
      <w:sz w:val="28"/>
      <w:szCs w:val="28"/>
    </w:rPr>
  </w:style>
  <w:style w:type="paragraph" w:customStyle="1" w:styleId="10">
    <w:name w:val="封面日期"/>
    <w:basedOn w:val="1"/>
    <w:qFormat/>
    <w:uiPriority w:val="0"/>
    <w:pPr>
      <w:jc w:val="center"/>
    </w:pPr>
    <w:rPr>
      <w:rFonts w:ascii="黑体" w:hAnsi="Times New Roman" w:eastAsia="黑体" w:cs="Times New Roman"/>
      <w:sz w:val="32"/>
      <w:szCs w:val="32"/>
    </w:rPr>
  </w:style>
  <w:style w:type="paragraph" w:customStyle="1" w:styleId="11">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2">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3">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2"/>
      <sectRole val="1"/>
    </customSectPr>
    <customSectPr>
      <sectNamePr val="目录"/>
    </customSectPr>
    <customSectPr>
      <sectNamePr val="修订记录"/>
    </customSectPr>
    <customSectPr>
      <sectNamePr val="正文"/>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黑豹</cp:lastModifiedBy>
  <dcterms:modified xsi:type="dcterms:W3CDTF">2024-05-10T07:26:15Z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4891461C7B5E4F55A0DA4F259C9432B9_13</vt:lpwstr>
  </property>
</Properties>
</file>